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629" w:rsidRDefault="00161629" w:rsidP="00161629">
      <w:pPr>
        <w:spacing w:line="360" w:lineRule="auto"/>
        <w:jc w:val="center"/>
        <w:rPr>
          <w:b/>
          <w:color w:val="000000" w:themeColor="text1"/>
        </w:rPr>
      </w:pPr>
    </w:p>
    <w:p w:rsidR="00161629" w:rsidRDefault="00161629" w:rsidP="00161629">
      <w:pPr>
        <w:spacing w:line="360" w:lineRule="auto"/>
        <w:jc w:val="center"/>
        <w:rPr>
          <w:b/>
          <w:color w:val="000000" w:themeColor="text1"/>
        </w:rPr>
      </w:pPr>
    </w:p>
    <w:p w:rsidR="00161629" w:rsidRPr="0033625A" w:rsidRDefault="00161629" w:rsidP="00161629">
      <w:pPr>
        <w:spacing w:line="360" w:lineRule="auto"/>
        <w:jc w:val="center"/>
        <w:rPr>
          <w:b/>
          <w:color w:val="000000" w:themeColor="text1"/>
        </w:rPr>
      </w:pPr>
      <w:r w:rsidRPr="0033625A">
        <w:rPr>
          <w:b/>
          <w:color w:val="000000" w:themeColor="text1"/>
        </w:rPr>
        <w:t>ÖZGEÇMİŞ</w:t>
      </w:r>
    </w:p>
    <w:p w:rsidR="00161629" w:rsidRPr="0033625A" w:rsidRDefault="00161629" w:rsidP="00161629">
      <w:pPr>
        <w:numPr>
          <w:ilvl w:val="0"/>
          <w:numId w:val="1"/>
        </w:numPr>
        <w:spacing w:line="360" w:lineRule="auto"/>
        <w:jc w:val="left"/>
        <w:rPr>
          <w:color w:val="000000" w:themeColor="text1"/>
        </w:rPr>
      </w:pPr>
      <w:r w:rsidRPr="0033625A">
        <w:rPr>
          <w:b/>
          <w:color w:val="000000" w:themeColor="text1"/>
        </w:rPr>
        <w:t xml:space="preserve">Adı Soyadı: </w:t>
      </w:r>
      <w:r w:rsidRPr="0033625A">
        <w:rPr>
          <w:color w:val="000000" w:themeColor="text1"/>
        </w:rPr>
        <w:t>Abdulrahman Mousa Othman</w:t>
      </w:r>
      <w:r w:rsidRPr="0033625A">
        <w:rPr>
          <w:color w:val="000000" w:themeColor="text1"/>
        </w:rPr>
        <w:tab/>
      </w:r>
    </w:p>
    <w:p w:rsidR="00161629" w:rsidRPr="0033625A" w:rsidRDefault="00161629" w:rsidP="00161629">
      <w:pPr>
        <w:spacing w:line="360" w:lineRule="auto"/>
        <w:ind w:left="399"/>
        <w:rPr>
          <w:color w:val="000000" w:themeColor="text1"/>
        </w:rPr>
      </w:pPr>
    </w:p>
    <w:p w:rsidR="00161629" w:rsidRPr="0033625A" w:rsidRDefault="00161629" w:rsidP="00161629">
      <w:pPr>
        <w:numPr>
          <w:ilvl w:val="0"/>
          <w:numId w:val="1"/>
        </w:numPr>
        <w:spacing w:line="360" w:lineRule="auto"/>
        <w:jc w:val="left"/>
        <w:rPr>
          <w:color w:val="000000" w:themeColor="text1"/>
        </w:rPr>
      </w:pPr>
      <w:r w:rsidRPr="0033625A">
        <w:rPr>
          <w:b/>
          <w:color w:val="000000" w:themeColor="text1"/>
        </w:rPr>
        <w:t>Doğum Tarihi:</w:t>
      </w:r>
      <w:r w:rsidRPr="0033625A">
        <w:rPr>
          <w:color w:val="000000" w:themeColor="text1"/>
        </w:rPr>
        <w:t xml:space="preserve"> 01/07/1946</w:t>
      </w:r>
    </w:p>
    <w:p w:rsidR="00161629" w:rsidRPr="0033625A" w:rsidRDefault="00161629" w:rsidP="00161629">
      <w:pPr>
        <w:spacing w:line="360" w:lineRule="auto"/>
        <w:rPr>
          <w:color w:val="000000" w:themeColor="text1"/>
        </w:rPr>
      </w:pPr>
    </w:p>
    <w:p w:rsidR="00161629" w:rsidRPr="0033625A" w:rsidRDefault="00161629" w:rsidP="00161629">
      <w:pPr>
        <w:numPr>
          <w:ilvl w:val="0"/>
          <w:numId w:val="1"/>
        </w:numPr>
        <w:spacing w:line="360" w:lineRule="auto"/>
        <w:jc w:val="left"/>
        <w:rPr>
          <w:color w:val="000000" w:themeColor="text1"/>
        </w:rPr>
      </w:pPr>
      <w:r w:rsidRPr="0033625A">
        <w:rPr>
          <w:b/>
          <w:color w:val="000000" w:themeColor="text1"/>
        </w:rPr>
        <w:t>Ünvanı:</w:t>
      </w:r>
      <w:r w:rsidRPr="0033625A">
        <w:rPr>
          <w:color w:val="000000" w:themeColor="text1"/>
        </w:rPr>
        <w:t xml:space="preserve"> Doktor</w:t>
      </w:r>
    </w:p>
    <w:p w:rsidR="00161629" w:rsidRPr="0033625A" w:rsidRDefault="00161629" w:rsidP="00161629">
      <w:pPr>
        <w:spacing w:line="360" w:lineRule="auto"/>
        <w:rPr>
          <w:color w:val="000000" w:themeColor="text1"/>
        </w:rPr>
      </w:pPr>
    </w:p>
    <w:p w:rsidR="00161629" w:rsidRPr="0033625A" w:rsidRDefault="00161629" w:rsidP="00161629">
      <w:pPr>
        <w:numPr>
          <w:ilvl w:val="0"/>
          <w:numId w:val="1"/>
        </w:numPr>
        <w:spacing w:line="360" w:lineRule="auto"/>
        <w:jc w:val="left"/>
        <w:rPr>
          <w:color w:val="000000" w:themeColor="text1"/>
        </w:rPr>
      </w:pPr>
      <w:r w:rsidRPr="0033625A">
        <w:rPr>
          <w:b/>
          <w:color w:val="000000" w:themeColor="text1"/>
        </w:rPr>
        <w:t>Öğrenim Durumu:</w:t>
      </w:r>
    </w:p>
    <w:p w:rsidR="00161629" w:rsidRPr="0033625A" w:rsidRDefault="00161629" w:rsidP="00161629">
      <w:pPr>
        <w:spacing w:line="360" w:lineRule="auto"/>
        <w:ind w:left="360"/>
        <w:rPr>
          <w:color w:val="000000" w:themeColor="text1"/>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2355"/>
        <w:gridCol w:w="3660"/>
        <w:gridCol w:w="922"/>
      </w:tblGrid>
      <w:tr w:rsidR="00161629" w:rsidRPr="0033625A" w:rsidTr="001E359E">
        <w:tc>
          <w:tcPr>
            <w:tcW w:w="1880" w:type="dxa"/>
          </w:tcPr>
          <w:p w:rsidR="00161629" w:rsidRPr="0033625A" w:rsidRDefault="00161629" w:rsidP="001E359E">
            <w:pPr>
              <w:spacing w:line="360" w:lineRule="auto"/>
              <w:jc w:val="center"/>
              <w:rPr>
                <w:b/>
                <w:color w:val="000000" w:themeColor="text1"/>
              </w:rPr>
            </w:pPr>
            <w:r w:rsidRPr="0033625A">
              <w:rPr>
                <w:b/>
                <w:color w:val="000000" w:themeColor="text1"/>
              </w:rPr>
              <w:t>Derece</w:t>
            </w:r>
          </w:p>
        </w:tc>
        <w:tc>
          <w:tcPr>
            <w:tcW w:w="2444" w:type="dxa"/>
          </w:tcPr>
          <w:p w:rsidR="00161629" w:rsidRPr="0033625A" w:rsidRDefault="00161629" w:rsidP="001E359E">
            <w:pPr>
              <w:spacing w:line="360" w:lineRule="auto"/>
              <w:jc w:val="center"/>
              <w:rPr>
                <w:b/>
                <w:color w:val="000000" w:themeColor="text1"/>
              </w:rPr>
            </w:pPr>
            <w:r w:rsidRPr="0033625A">
              <w:rPr>
                <w:b/>
                <w:color w:val="000000" w:themeColor="text1"/>
              </w:rPr>
              <w:t>Bölüm</w:t>
            </w:r>
          </w:p>
        </w:tc>
        <w:tc>
          <w:tcPr>
            <w:tcW w:w="3941" w:type="dxa"/>
          </w:tcPr>
          <w:p w:rsidR="00161629" w:rsidRPr="0033625A" w:rsidRDefault="00161629" w:rsidP="001E359E">
            <w:pPr>
              <w:spacing w:line="360" w:lineRule="auto"/>
              <w:jc w:val="center"/>
              <w:rPr>
                <w:b/>
                <w:color w:val="000000" w:themeColor="text1"/>
              </w:rPr>
            </w:pPr>
            <w:r w:rsidRPr="0033625A">
              <w:rPr>
                <w:b/>
                <w:color w:val="000000" w:themeColor="text1"/>
              </w:rPr>
              <w:t>Üniversite</w:t>
            </w:r>
          </w:p>
        </w:tc>
        <w:tc>
          <w:tcPr>
            <w:tcW w:w="949" w:type="dxa"/>
          </w:tcPr>
          <w:p w:rsidR="00161629" w:rsidRPr="0033625A" w:rsidRDefault="00161629" w:rsidP="001E359E">
            <w:pPr>
              <w:spacing w:line="360" w:lineRule="auto"/>
              <w:jc w:val="center"/>
              <w:rPr>
                <w:b/>
                <w:color w:val="000000" w:themeColor="text1"/>
              </w:rPr>
            </w:pPr>
            <w:r w:rsidRPr="0033625A">
              <w:rPr>
                <w:b/>
                <w:color w:val="000000" w:themeColor="text1"/>
              </w:rPr>
              <w:t>Yıl</w:t>
            </w:r>
          </w:p>
        </w:tc>
      </w:tr>
      <w:tr w:rsidR="00161629" w:rsidRPr="0033625A" w:rsidTr="001E359E">
        <w:tc>
          <w:tcPr>
            <w:tcW w:w="1880" w:type="dxa"/>
          </w:tcPr>
          <w:p w:rsidR="00161629" w:rsidRPr="0033625A" w:rsidRDefault="00161629" w:rsidP="001E359E">
            <w:pPr>
              <w:spacing w:line="360" w:lineRule="auto"/>
              <w:jc w:val="center"/>
              <w:rPr>
                <w:color w:val="000000" w:themeColor="text1"/>
              </w:rPr>
            </w:pPr>
            <w:r w:rsidRPr="0033625A">
              <w:rPr>
                <w:color w:val="000000" w:themeColor="text1"/>
              </w:rPr>
              <w:t>Lisans</w:t>
            </w:r>
          </w:p>
        </w:tc>
        <w:tc>
          <w:tcPr>
            <w:tcW w:w="2444" w:type="dxa"/>
          </w:tcPr>
          <w:p w:rsidR="00161629" w:rsidRPr="0033625A" w:rsidRDefault="00161629" w:rsidP="001E359E">
            <w:pPr>
              <w:spacing w:line="360" w:lineRule="auto"/>
              <w:jc w:val="center"/>
              <w:rPr>
                <w:color w:val="000000" w:themeColor="text1"/>
              </w:rPr>
            </w:pPr>
            <w:r w:rsidRPr="0033625A">
              <w:rPr>
                <w:color w:val="000000" w:themeColor="text1"/>
              </w:rPr>
              <w:t>Statistics and Computer Science</w:t>
            </w:r>
          </w:p>
        </w:tc>
        <w:tc>
          <w:tcPr>
            <w:tcW w:w="3941" w:type="dxa"/>
          </w:tcPr>
          <w:p w:rsidR="00161629" w:rsidRPr="0033625A" w:rsidRDefault="00161629" w:rsidP="001E359E">
            <w:pPr>
              <w:spacing w:line="360" w:lineRule="auto"/>
              <w:jc w:val="center"/>
              <w:rPr>
                <w:color w:val="000000" w:themeColor="text1"/>
              </w:rPr>
            </w:pPr>
            <w:r w:rsidRPr="0033625A">
              <w:rPr>
                <w:color w:val="000000" w:themeColor="text1"/>
              </w:rPr>
              <w:t>Dundee University, UK</w:t>
            </w:r>
          </w:p>
        </w:tc>
        <w:tc>
          <w:tcPr>
            <w:tcW w:w="949" w:type="dxa"/>
          </w:tcPr>
          <w:p w:rsidR="00161629" w:rsidRPr="0033625A" w:rsidRDefault="00161629" w:rsidP="001E359E">
            <w:pPr>
              <w:spacing w:line="360" w:lineRule="auto"/>
              <w:jc w:val="center"/>
              <w:rPr>
                <w:color w:val="000000" w:themeColor="text1"/>
              </w:rPr>
            </w:pPr>
            <w:r w:rsidRPr="0033625A">
              <w:rPr>
                <w:color w:val="000000" w:themeColor="text1"/>
              </w:rPr>
              <w:t>1980</w:t>
            </w:r>
          </w:p>
        </w:tc>
      </w:tr>
      <w:tr w:rsidR="00161629" w:rsidRPr="0033625A" w:rsidTr="001E359E">
        <w:tc>
          <w:tcPr>
            <w:tcW w:w="1880" w:type="dxa"/>
          </w:tcPr>
          <w:p w:rsidR="00161629" w:rsidRPr="0033625A" w:rsidRDefault="00161629" w:rsidP="001E359E">
            <w:pPr>
              <w:spacing w:line="360" w:lineRule="auto"/>
              <w:jc w:val="center"/>
              <w:rPr>
                <w:color w:val="000000" w:themeColor="text1"/>
              </w:rPr>
            </w:pPr>
            <w:r w:rsidRPr="0033625A">
              <w:rPr>
                <w:color w:val="000000" w:themeColor="text1"/>
              </w:rPr>
              <w:t>Y. Lisans</w:t>
            </w:r>
          </w:p>
        </w:tc>
        <w:tc>
          <w:tcPr>
            <w:tcW w:w="2444" w:type="dxa"/>
          </w:tcPr>
          <w:p w:rsidR="00161629" w:rsidRPr="0033625A" w:rsidRDefault="00161629" w:rsidP="001E359E">
            <w:pPr>
              <w:spacing w:line="360" w:lineRule="auto"/>
              <w:jc w:val="center"/>
              <w:rPr>
                <w:color w:val="000000" w:themeColor="text1"/>
              </w:rPr>
            </w:pPr>
            <w:r w:rsidRPr="0033625A">
              <w:rPr>
                <w:color w:val="000000" w:themeColor="text1"/>
              </w:rPr>
              <w:t>Numerical Analysis and Programmimg</w:t>
            </w:r>
          </w:p>
        </w:tc>
        <w:tc>
          <w:tcPr>
            <w:tcW w:w="3941" w:type="dxa"/>
          </w:tcPr>
          <w:p w:rsidR="00161629" w:rsidRPr="0033625A" w:rsidRDefault="00161629" w:rsidP="001E359E">
            <w:pPr>
              <w:spacing w:line="360" w:lineRule="auto"/>
              <w:jc w:val="center"/>
              <w:rPr>
                <w:color w:val="000000" w:themeColor="text1"/>
              </w:rPr>
            </w:pPr>
            <w:r w:rsidRPr="0033625A">
              <w:rPr>
                <w:color w:val="000000" w:themeColor="text1"/>
              </w:rPr>
              <w:t>Dundee University, UK</w:t>
            </w:r>
          </w:p>
        </w:tc>
        <w:tc>
          <w:tcPr>
            <w:tcW w:w="949" w:type="dxa"/>
          </w:tcPr>
          <w:p w:rsidR="00161629" w:rsidRPr="0033625A" w:rsidRDefault="00161629" w:rsidP="001E359E">
            <w:pPr>
              <w:spacing w:line="360" w:lineRule="auto"/>
              <w:jc w:val="center"/>
              <w:rPr>
                <w:color w:val="000000" w:themeColor="text1"/>
              </w:rPr>
            </w:pPr>
            <w:r w:rsidRPr="0033625A">
              <w:rPr>
                <w:color w:val="000000" w:themeColor="text1"/>
              </w:rPr>
              <w:t>1981</w:t>
            </w:r>
          </w:p>
        </w:tc>
      </w:tr>
      <w:tr w:rsidR="00161629" w:rsidRPr="0033625A" w:rsidTr="001E359E">
        <w:tc>
          <w:tcPr>
            <w:tcW w:w="1880" w:type="dxa"/>
          </w:tcPr>
          <w:p w:rsidR="00161629" w:rsidRPr="0033625A" w:rsidRDefault="00161629" w:rsidP="001E359E">
            <w:pPr>
              <w:spacing w:line="360" w:lineRule="auto"/>
              <w:jc w:val="center"/>
              <w:rPr>
                <w:color w:val="000000" w:themeColor="text1"/>
              </w:rPr>
            </w:pPr>
            <w:r w:rsidRPr="0033625A">
              <w:rPr>
                <w:color w:val="000000" w:themeColor="text1"/>
              </w:rPr>
              <w:t>Doktora</w:t>
            </w:r>
          </w:p>
        </w:tc>
        <w:tc>
          <w:tcPr>
            <w:tcW w:w="2444" w:type="dxa"/>
          </w:tcPr>
          <w:p w:rsidR="00161629" w:rsidRPr="0033625A" w:rsidRDefault="00161629" w:rsidP="001E359E">
            <w:pPr>
              <w:spacing w:line="360" w:lineRule="auto"/>
              <w:jc w:val="center"/>
              <w:rPr>
                <w:color w:val="000000" w:themeColor="text1"/>
              </w:rPr>
            </w:pPr>
            <w:r w:rsidRPr="0033625A">
              <w:rPr>
                <w:color w:val="000000" w:themeColor="text1"/>
              </w:rPr>
              <w:t>Application of Numerical Analysis to Engineering problems</w:t>
            </w:r>
          </w:p>
        </w:tc>
        <w:tc>
          <w:tcPr>
            <w:tcW w:w="3941" w:type="dxa"/>
          </w:tcPr>
          <w:p w:rsidR="00161629" w:rsidRPr="0033625A" w:rsidRDefault="00161629" w:rsidP="001E359E">
            <w:pPr>
              <w:spacing w:line="360" w:lineRule="auto"/>
              <w:jc w:val="center"/>
              <w:rPr>
                <w:color w:val="000000" w:themeColor="text1"/>
              </w:rPr>
            </w:pPr>
            <w:r w:rsidRPr="0033625A">
              <w:rPr>
                <w:color w:val="000000" w:themeColor="text1"/>
              </w:rPr>
              <w:t>Sheffield University, UK</w:t>
            </w:r>
          </w:p>
        </w:tc>
        <w:tc>
          <w:tcPr>
            <w:tcW w:w="949" w:type="dxa"/>
          </w:tcPr>
          <w:p w:rsidR="00161629" w:rsidRPr="0033625A" w:rsidRDefault="00161629" w:rsidP="001E359E">
            <w:pPr>
              <w:spacing w:line="360" w:lineRule="auto"/>
              <w:jc w:val="center"/>
              <w:rPr>
                <w:color w:val="000000" w:themeColor="text1"/>
              </w:rPr>
            </w:pPr>
            <w:r w:rsidRPr="0033625A">
              <w:rPr>
                <w:color w:val="000000" w:themeColor="text1"/>
              </w:rPr>
              <w:t>1986</w:t>
            </w:r>
          </w:p>
        </w:tc>
      </w:tr>
    </w:tbl>
    <w:p w:rsidR="00161629" w:rsidRPr="0033625A" w:rsidRDefault="00161629" w:rsidP="00161629">
      <w:pPr>
        <w:spacing w:line="360" w:lineRule="auto"/>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 xml:space="preserve">Akademik Ünvanlar:  </w:t>
      </w:r>
    </w:p>
    <w:p w:rsidR="00161629" w:rsidRPr="0033625A" w:rsidRDefault="00161629" w:rsidP="00161629">
      <w:pPr>
        <w:spacing w:line="360" w:lineRule="auto"/>
        <w:ind w:left="360"/>
        <w:rPr>
          <w:color w:val="000000" w:themeColor="text1"/>
        </w:rPr>
      </w:pPr>
      <w:r w:rsidRPr="0033625A">
        <w:rPr>
          <w:color w:val="000000" w:themeColor="text1"/>
        </w:rPr>
        <w:t>Assist. Prof.              University of  UAE</w:t>
      </w:r>
      <w:r w:rsidRPr="0033625A">
        <w:rPr>
          <w:color w:val="000000" w:themeColor="text1"/>
        </w:rPr>
        <w:tab/>
      </w:r>
      <w:r w:rsidRPr="0033625A">
        <w:rPr>
          <w:color w:val="000000" w:themeColor="text1"/>
        </w:rPr>
        <w:tab/>
        <w:t xml:space="preserve">1996-2000     </w:t>
      </w:r>
    </w:p>
    <w:p w:rsidR="00161629" w:rsidRPr="0033625A" w:rsidRDefault="00161629" w:rsidP="00161629">
      <w:pPr>
        <w:spacing w:line="360" w:lineRule="auto"/>
        <w:ind w:left="360"/>
        <w:rPr>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Yönetilen Yüksek Lisans ve Doktora Tezleri</w:t>
      </w:r>
    </w:p>
    <w:p w:rsidR="00161629" w:rsidRPr="0033625A" w:rsidRDefault="00161629" w:rsidP="00161629">
      <w:pPr>
        <w:spacing w:line="360" w:lineRule="auto"/>
        <w:ind w:left="399"/>
        <w:rPr>
          <w:b/>
          <w:color w:val="000000" w:themeColor="text1"/>
        </w:rPr>
      </w:pPr>
    </w:p>
    <w:p w:rsidR="00161629" w:rsidRPr="0033625A" w:rsidRDefault="00161629" w:rsidP="00161629">
      <w:pPr>
        <w:numPr>
          <w:ilvl w:val="1"/>
          <w:numId w:val="1"/>
        </w:numPr>
        <w:spacing w:line="360" w:lineRule="auto"/>
        <w:jc w:val="left"/>
        <w:rPr>
          <w:b/>
          <w:color w:val="000000" w:themeColor="text1"/>
        </w:rPr>
      </w:pPr>
      <w:r w:rsidRPr="0033625A">
        <w:rPr>
          <w:b/>
          <w:color w:val="000000" w:themeColor="text1"/>
        </w:rPr>
        <w:t>Yüksek Lisans Tezleri</w:t>
      </w:r>
    </w:p>
    <w:p w:rsidR="00161629" w:rsidRPr="0033625A" w:rsidRDefault="00161629" w:rsidP="00161629">
      <w:pPr>
        <w:spacing w:line="360" w:lineRule="auto"/>
        <w:ind w:left="360"/>
        <w:rPr>
          <w:b/>
          <w:color w:val="000000" w:themeColor="text1"/>
        </w:rPr>
      </w:pPr>
    </w:p>
    <w:p w:rsidR="00161629" w:rsidRPr="0033625A" w:rsidRDefault="00161629" w:rsidP="00161629">
      <w:pPr>
        <w:numPr>
          <w:ilvl w:val="1"/>
          <w:numId w:val="1"/>
        </w:numPr>
        <w:spacing w:line="360" w:lineRule="auto"/>
        <w:jc w:val="left"/>
        <w:rPr>
          <w:b/>
          <w:color w:val="000000" w:themeColor="text1"/>
        </w:rPr>
      </w:pPr>
      <w:r w:rsidRPr="0033625A">
        <w:rPr>
          <w:b/>
          <w:color w:val="000000" w:themeColor="text1"/>
        </w:rPr>
        <w:t>Doktora Tezleri</w:t>
      </w:r>
    </w:p>
    <w:p w:rsidR="00161629" w:rsidRPr="0033625A" w:rsidRDefault="00161629" w:rsidP="00161629">
      <w:pPr>
        <w:spacing w:line="360" w:lineRule="auto"/>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Yayınlar:</w:t>
      </w:r>
    </w:p>
    <w:p w:rsidR="00161629" w:rsidRPr="0033625A" w:rsidRDefault="00161629" w:rsidP="00161629">
      <w:pPr>
        <w:spacing w:line="360" w:lineRule="auto"/>
        <w:ind w:left="399"/>
        <w:rPr>
          <w:b/>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7.1. Ululararası hakemli dergilerde yayınlanan makaleler</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lastRenderedPageBreak/>
        <w:t>A. M. Othman and D. Watt, Stability Boundaries of an Oscillator Under High Frequency Parametric Multi-component Education, J. Sound and Vibration, 1987, 112 (2), 249-259.</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and D.R. Hayhurst, Multi-Axial Creep Rupture of Model Structure using a two Parameter Material Model, Int. J. Mech. Sci. Vol 32, no 1, 35-48, 1990</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F.P.E. Dunne, A. M. Othman and D.R. Hayhurst, Representations of Uniaxial Creep Curves Using Continuum Damage Mechnics, Int. J. Mech. Sci. Vol 32, no 11, 945-957, 1990</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and D.R. Hayhurst, Determination of low Strain Multi-Axial Creep Rupture Criteria Using Notched-Bar Data, Eur. J. Mech., A/Solids, Vol 12, No 5, 609-629, 1993</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and D.R. Hayhurst, Determination of Large Strain Multi-Axial Creep Rupture Criteria Using Notched-Bar Data, Int. J. Dam. Mech, Vol 2, No 1, 16-52, 1993.</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D.R. Hayhurst and B. F. Dyson, Skeletal Point Stress in Circumferentially Notched Tension Bars Undergoing Tertiary Creep with Physically-Based Constitutive Equations, Proc. R. Soc. London. A, 1993, 441, 343-358</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J. Lin, D.R. Hayhurst and B. F. Dyson, Comparison of Creep Rupture Lifetimes of Single and Double Notched Tensile Bars, Acta metal. Mater, Vol 41, No 4, 1215-1222, 1993</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A. M. Othman, D.R. Hayhurst, B. F. Dyson and J. Lin, Continuum Damage Mechanics of Circumferntially Notched Tension Bars Undergowing Tertiary Creep with Physically-Based Constitutive Equations, Acta metal. Mater, Vol 42, No 3, 597-611, 1994</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B.A. Bilby, I.C. Howard and A.M. Othman, Z.H.Li, D.P.G. Lidbury and A.H. Sherry, Prediction of Spinning Cylinder Tests 2 and 3 Using Continuum Damage Mechanics, PVP, Vol 250, Pressure Vessel Integrity ASME, 1994</w:t>
      </w:r>
    </w:p>
    <w:p w:rsidR="00161629" w:rsidRPr="0033625A" w:rsidRDefault="00161629" w:rsidP="00161629">
      <w:pPr>
        <w:spacing w:line="360" w:lineRule="auto"/>
        <w:ind w:left="759"/>
        <w:rPr>
          <w:color w:val="000000" w:themeColor="text1"/>
        </w:rPr>
      </w:pPr>
    </w:p>
    <w:p w:rsidR="00161629" w:rsidRPr="0033625A" w:rsidRDefault="00161629" w:rsidP="00161629">
      <w:pPr>
        <w:spacing w:line="360" w:lineRule="auto"/>
        <w:ind w:left="399"/>
        <w:rPr>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7.2. Uluslararası bilimsel toplantılarda sunulan ve bildiri kitabında (Proceedings) basılan bildiriler</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lastRenderedPageBreak/>
        <w:t>A. M. Othman and D. Watt, Response of an Oscillator to Multi-Component High Frequency Parametric Excitation, Seventh World Congress on the Theory of Machines and Mechanics, September, 1987</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I.C. Howard, A.M. Othman, D.P.G. Lidbury and A.H. Sherry, Simultion of the behaviour of two large scale tests using ductile continuum damage mechanics model derived from small scale laboratory data, Proc. IUTAM SYMPOSIUM on Micromechanics of Plasticity and Damage of Multiphase Materials, Sevres-France, 29 Aug-1 Sep 1995</w:t>
      </w:r>
    </w:p>
    <w:p w:rsidR="00161629" w:rsidRPr="0033625A" w:rsidRDefault="00161629" w:rsidP="00161629">
      <w:pPr>
        <w:numPr>
          <w:ilvl w:val="0"/>
          <w:numId w:val="2"/>
        </w:numPr>
        <w:spacing w:line="360" w:lineRule="auto"/>
        <w:jc w:val="left"/>
        <w:rPr>
          <w:color w:val="000000" w:themeColor="text1"/>
        </w:rPr>
      </w:pPr>
      <w:r w:rsidRPr="0033625A">
        <w:rPr>
          <w:color w:val="000000" w:themeColor="text1"/>
        </w:rPr>
        <w:t>I.C. Howard, Z.H. Li, D.P.G. Lidbury, A.M. Othman, R. Patel, A.H. Sherry and J. Simpson, Two and Three,dimensional Effects in the Simulation of Wide Plate Tests, Proc. Of 12th Bienniel Conference on Fracture- ECF 12- held in Sheffield U.K., 14-18 Sep 1998</w:t>
      </w:r>
    </w:p>
    <w:p w:rsidR="00161629" w:rsidRPr="0033625A" w:rsidRDefault="00161629" w:rsidP="00161629">
      <w:pPr>
        <w:spacing w:line="360" w:lineRule="auto"/>
        <w:ind w:left="399"/>
        <w:rPr>
          <w:b/>
          <w:color w:val="000000" w:themeColor="text1"/>
        </w:rPr>
      </w:pPr>
    </w:p>
    <w:p w:rsidR="00161629" w:rsidRPr="0033625A" w:rsidRDefault="00161629" w:rsidP="00161629">
      <w:pPr>
        <w:spacing w:line="360" w:lineRule="auto"/>
        <w:ind w:left="399"/>
        <w:rPr>
          <w:b/>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7.3. Yazılan uluslar arası kitaplar veya kitaplarda bölümler</w:t>
      </w:r>
    </w:p>
    <w:p w:rsidR="00161629" w:rsidRPr="0033625A" w:rsidRDefault="00161629" w:rsidP="00161629">
      <w:pPr>
        <w:spacing w:line="360" w:lineRule="auto"/>
        <w:ind w:left="399"/>
        <w:rPr>
          <w:b/>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7.4. Ulusal hakemli dergilerde yayınlanan makaleler</w:t>
      </w:r>
    </w:p>
    <w:p w:rsidR="00161629" w:rsidRPr="0033625A" w:rsidRDefault="00161629" w:rsidP="00161629">
      <w:pPr>
        <w:spacing w:line="360" w:lineRule="auto"/>
        <w:ind w:left="399"/>
        <w:rPr>
          <w:b/>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 xml:space="preserve">7.5. Ulusal bilimsel toplantılarda sunulan ve bildiri kitabında basılan bildiriler </w:t>
      </w:r>
    </w:p>
    <w:p w:rsidR="00161629" w:rsidRPr="0033625A" w:rsidRDefault="00161629" w:rsidP="00161629">
      <w:pPr>
        <w:spacing w:line="360" w:lineRule="auto"/>
        <w:ind w:left="399"/>
        <w:rPr>
          <w:color w:val="000000" w:themeColor="text1"/>
        </w:rPr>
      </w:pPr>
    </w:p>
    <w:p w:rsidR="00161629" w:rsidRPr="0033625A" w:rsidRDefault="00161629" w:rsidP="00161629">
      <w:pPr>
        <w:spacing w:line="360" w:lineRule="auto"/>
        <w:ind w:left="399"/>
        <w:rPr>
          <w:b/>
          <w:color w:val="000000" w:themeColor="text1"/>
        </w:rPr>
      </w:pPr>
      <w:r w:rsidRPr="0033625A">
        <w:rPr>
          <w:b/>
          <w:color w:val="000000" w:themeColor="text1"/>
        </w:rPr>
        <w:t>7.6. Diğer yayınlar</w:t>
      </w:r>
    </w:p>
    <w:p w:rsidR="00161629" w:rsidRPr="0033625A" w:rsidRDefault="00161629" w:rsidP="00161629">
      <w:pPr>
        <w:spacing w:line="360" w:lineRule="auto"/>
        <w:ind w:left="399"/>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Projeler</w:t>
      </w:r>
    </w:p>
    <w:p w:rsidR="00161629" w:rsidRPr="0033625A" w:rsidRDefault="00161629" w:rsidP="00161629">
      <w:pPr>
        <w:spacing w:line="360" w:lineRule="auto"/>
        <w:ind w:left="399"/>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İdari Görevler</w:t>
      </w:r>
    </w:p>
    <w:p w:rsidR="00161629" w:rsidRPr="0033625A" w:rsidRDefault="00161629" w:rsidP="00161629">
      <w:pPr>
        <w:spacing w:line="360" w:lineRule="auto"/>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Bilimsel Kuruluşa Üyelikler</w:t>
      </w:r>
    </w:p>
    <w:p w:rsidR="00161629" w:rsidRPr="0033625A" w:rsidRDefault="00161629" w:rsidP="00161629">
      <w:pPr>
        <w:spacing w:line="360" w:lineRule="auto"/>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Ödüller</w:t>
      </w:r>
    </w:p>
    <w:p w:rsidR="00161629" w:rsidRPr="0033625A" w:rsidRDefault="00161629" w:rsidP="00161629">
      <w:pPr>
        <w:spacing w:line="360" w:lineRule="auto"/>
        <w:rPr>
          <w:b/>
          <w:color w:val="000000" w:themeColor="text1"/>
        </w:rPr>
      </w:pPr>
    </w:p>
    <w:p w:rsidR="00161629" w:rsidRPr="0033625A" w:rsidRDefault="00161629" w:rsidP="00161629">
      <w:pPr>
        <w:numPr>
          <w:ilvl w:val="0"/>
          <w:numId w:val="1"/>
        </w:numPr>
        <w:spacing w:line="360" w:lineRule="auto"/>
        <w:jc w:val="left"/>
        <w:rPr>
          <w:b/>
          <w:color w:val="000000" w:themeColor="text1"/>
        </w:rPr>
      </w:pPr>
      <w:r w:rsidRPr="0033625A">
        <w:rPr>
          <w:b/>
          <w:color w:val="000000" w:themeColor="text1"/>
        </w:rPr>
        <w:t xml:space="preserve">Son iki yılda verdiğiniz lisans ve lisansüstü düzeydeki dersler için aşağıdaki tabloyu doldurunuz.  </w:t>
      </w:r>
    </w:p>
    <w:p w:rsidR="00896577" w:rsidRDefault="00896577"/>
    <w:sectPr w:rsidR="00896577" w:rsidSect="008965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A6CB3"/>
    <w:multiLevelType w:val="hybridMultilevel"/>
    <w:tmpl w:val="6AF483CE"/>
    <w:lvl w:ilvl="0" w:tplc="085E5B4C">
      <w:start w:val="1"/>
      <w:numFmt w:val="decimal"/>
      <w:lvlText w:val="%1."/>
      <w:lvlJc w:val="left"/>
      <w:pPr>
        <w:tabs>
          <w:tab w:val="num" w:pos="759"/>
        </w:tabs>
        <w:ind w:left="759" w:hanging="360"/>
      </w:pPr>
      <w:rPr>
        <w:rFonts w:hint="default"/>
        <w:b/>
      </w:rPr>
    </w:lvl>
    <w:lvl w:ilvl="1" w:tplc="D76A9662">
      <w:numFmt w:val="none"/>
      <w:lvlText w:val=""/>
      <w:lvlJc w:val="left"/>
      <w:pPr>
        <w:tabs>
          <w:tab w:val="num" w:pos="360"/>
        </w:tabs>
      </w:pPr>
    </w:lvl>
    <w:lvl w:ilvl="2" w:tplc="C4CEC90C">
      <w:numFmt w:val="none"/>
      <w:lvlText w:val=""/>
      <w:lvlJc w:val="left"/>
      <w:pPr>
        <w:tabs>
          <w:tab w:val="num" w:pos="360"/>
        </w:tabs>
      </w:pPr>
    </w:lvl>
    <w:lvl w:ilvl="3" w:tplc="47888322">
      <w:numFmt w:val="none"/>
      <w:lvlText w:val=""/>
      <w:lvlJc w:val="left"/>
      <w:pPr>
        <w:tabs>
          <w:tab w:val="num" w:pos="360"/>
        </w:tabs>
      </w:pPr>
    </w:lvl>
    <w:lvl w:ilvl="4" w:tplc="44AE2A84">
      <w:numFmt w:val="none"/>
      <w:lvlText w:val=""/>
      <w:lvlJc w:val="left"/>
      <w:pPr>
        <w:tabs>
          <w:tab w:val="num" w:pos="360"/>
        </w:tabs>
      </w:pPr>
    </w:lvl>
    <w:lvl w:ilvl="5" w:tplc="61BCE23C">
      <w:numFmt w:val="none"/>
      <w:lvlText w:val=""/>
      <w:lvlJc w:val="left"/>
      <w:pPr>
        <w:tabs>
          <w:tab w:val="num" w:pos="360"/>
        </w:tabs>
      </w:pPr>
    </w:lvl>
    <w:lvl w:ilvl="6" w:tplc="A1C808A6">
      <w:numFmt w:val="none"/>
      <w:lvlText w:val=""/>
      <w:lvlJc w:val="left"/>
      <w:pPr>
        <w:tabs>
          <w:tab w:val="num" w:pos="360"/>
        </w:tabs>
      </w:pPr>
    </w:lvl>
    <w:lvl w:ilvl="7" w:tplc="4C06F44E">
      <w:numFmt w:val="none"/>
      <w:lvlText w:val=""/>
      <w:lvlJc w:val="left"/>
      <w:pPr>
        <w:tabs>
          <w:tab w:val="num" w:pos="360"/>
        </w:tabs>
      </w:pPr>
    </w:lvl>
    <w:lvl w:ilvl="8" w:tplc="E0AA8AAE">
      <w:numFmt w:val="none"/>
      <w:lvlText w:val=""/>
      <w:lvlJc w:val="left"/>
      <w:pPr>
        <w:tabs>
          <w:tab w:val="num" w:pos="360"/>
        </w:tabs>
      </w:pPr>
    </w:lvl>
  </w:abstractNum>
  <w:abstractNum w:abstractNumId="1">
    <w:nsid w:val="52A55C4C"/>
    <w:multiLevelType w:val="hybridMultilevel"/>
    <w:tmpl w:val="54325420"/>
    <w:lvl w:ilvl="0" w:tplc="041F0001">
      <w:start w:val="1"/>
      <w:numFmt w:val="bullet"/>
      <w:lvlText w:val=""/>
      <w:lvlJc w:val="left"/>
      <w:pPr>
        <w:tabs>
          <w:tab w:val="num" w:pos="1119"/>
        </w:tabs>
        <w:ind w:left="1119" w:hanging="360"/>
      </w:pPr>
      <w:rPr>
        <w:rFonts w:ascii="Symbol" w:hAnsi="Symbol" w:hint="default"/>
      </w:rPr>
    </w:lvl>
    <w:lvl w:ilvl="1" w:tplc="041F0003" w:tentative="1">
      <w:start w:val="1"/>
      <w:numFmt w:val="bullet"/>
      <w:lvlText w:val="o"/>
      <w:lvlJc w:val="left"/>
      <w:pPr>
        <w:tabs>
          <w:tab w:val="num" w:pos="1839"/>
        </w:tabs>
        <w:ind w:left="1839" w:hanging="360"/>
      </w:pPr>
      <w:rPr>
        <w:rFonts w:ascii="Courier New" w:hAnsi="Courier New" w:cs="Courier New" w:hint="default"/>
      </w:rPr>
    </w:lvl>
    <w:lvl w:ilvl="2" w:tplc="041F0005" w:tentative="1">
      <w:start w:val="1"/>
      <w:numFmt w:val="bullet"/>
      <w:lvlText w:val=""/>
      <w:lvlJc w:val="left"/>
      <w:pPr>
        <w:tabs>
          <w:tab w:val="num" w:pos="2559"/>
        </w:tabs>
        <w:ind w:left="2559" w:hanging="360"/>
      </w:pPr>
      <w:rPr>
        <w:rFonts w:ascii="Wingdings" w:hAnsi="Wingdings" w:hint="default"/>
      </w:rPr>
    </w:lvl>
    <w:lvl w:ilvl="3" w:tplc="041F0001" w:tentative="1">
      <w:start w:val="1"/>
      <w:numFmt w:val="bullet"/>
      <w:lvlText w:val=""/>
      <w:lvlJc w:val="left"/>
      <w:pPr>
        <w:tabs>
          <w:tab w:val="num" w:pos="3279"/>
        </w:tabs>
        <w:ind w:left="3279" w:hanging="360"/>
      </w:pPr>
      <w:rPr>
        <w:rFonts w:ascii="Symbol" w:hAnsi="Symbol" w:hint="default"/>
      </w:rPr>
    </w:lvl>
    <w:lvl w:ilvl="4" w:tplc="041F0003" w:tentative="1">
      <w:start w:val="1"/>
      <w:numFmt w:val="bullet"/>
      <w:lvlText w:val="o"/>
      <w:lvlJc w:val="left"/>
      <w:pPr>
        <w:tabs>
          <w:tab w:val="num" w:pos="3999"/>
        </w:tabs>
        <w:ind w:left="3999" w:hanging="360"/>
      </w:pPr>
      <w:rPr>
        <w:rFonts w:ascii="Courier New" w:hAnsi="Courier New" w:cs="Courier New" w:hint="default"/>
      </w:rPr>
    </w:lvl>
    <w:lvl w:ilvl="5" w:tplc="041F0005" w:tentative="1">
      <w:start w:val="1"/>
      <w:numFmt w:val="bullet"/>
      <w:lvlText w:val=""/>
      <w:lvlJc w:val="left"/>
      <w:pPr>
        <w:tabs>
          <w:tab w:val="num" w:pos="4719"/>
        </w:tabs>
        <w:ind w:left="4719" w:hanging="360"/>
      </w:pPr>
      <w:rPr>
        <w:rFonts w:ascii="Wingdings" w:hAnsi="Wingdings" w:hint="default"/>
      </w:rPr>
    </w:lvl>
    <w:lvl w:ilvl="6" w:tplc="041F0001" w:tentative="1">
      <w:start w:val="1"/>
      <w:numFmt w:val="bullet"/>
      <w:lvlText w:val=""/>
      <w:lvlJc w:val="left"/>
      <w:pPr>
        <w:tabs>
          <w:tab w:val="num" w:pos="5439"/>
        </w:tabs>
        <w:ind w:left="5439" w:hanging="360"/>
      </w:pPr>
      <w:rPr>
        <w:rFonts w:ascii="Symbol" w:hAnsi="Symbol" w:hint="default"/>
      </w:rPr>
    </w:lvl>
    <w:lvl w:ilvl="7" w:tplc="041F0003" w:tentative="1">
      <w:start w:val="1"/>
      <w:numFmt w:val="bullet"/>
      <w:lvlText w:val="o"/>
      <w:lvlJc w:val="left"/>
      <w:pPr>
        <w:tabs>
          <w:tab w:val="num" w:pos="6159"/>
        </w:tabs>
        <w:ind w:left="6159" w:hanging="360"/>
      </w:pPr>
      <w:rPr>
        <w:rFonts w:ascii="Courier New" w:hAnsi="Courier New" w:cs="Courier New" w:hint="default"/>
      </w:rPr>
    </w:lvl>
    <w:lvl w:ilvl="8" w:tplc="041F0005" w:tentative="1">
      <w:start w:val="1"/>
      <w:numFmt w:val="bullet"/>
      <w:lvlText w:val=""/>
      <w:lvlJc w:val="left"/>
      <w:pPr>
        <w:tabs>
          <w:tab w:val="num" w:pos="6879"/>
        </w:tabs>
        <w:ind w:left="687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1629"/>
    <w:rsid w:val="00161629"/>
    <w:rsid w:val="008965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29"/>
    <w:pPr>
      <w:spacing w:after="0" w:line="240" w:lineRule="auto"/>
      <w:jc w:val="both"/>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3039</Characters>
  <Application>Microsoft Office Word</Application>
  <DocSecurity>0</DocSecurity>
  <Lines>25</Lines>
  <Paragraphs>7</Paragraphs>
  <ScaleCrop>false</ScaleCrop>
  <Company>HKRG</Company>
  <LinksUpToDate>false</LinksUpToDate>
  <CharactersWithSpaces>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2015-11-23T08:29:00Z</dcterms:created>
  <dcterms:modified xsi:type="dcterms:W3CDTF">2015-11-23T08:30:00Z</dcterms:modified>
</cp:coreProperties>
</file>