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A10E19">
        <w:rPr>
          <w:rFonts w:ascii="Verdana" w:hAnsi="Verdana"/>
          <w:b/>
          <w:sz w:val="20"/>
          <w:szCs w:val="20"/>
        </w:rPr>
        <w:t xml:space="preserve"> </w:t>
      </w:r>
      <w:r w:rsidR="00A10E19">
        <w:rPr>
          <w:rFonts w:ascii="Verdana" w:hAnsi="Verdana"/>
          <w:sz w:val="20"/>
          <w:szCs w:val="20"/>
        </w:rPr>
        <w:t>Atilla Berberoğlu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 w:rsidR="00A10E19">
        <w:rPr>
          <w:rFonts w:ascii="Verdana" w:hAnsi="Verdana"/>
          <w:b/>
          <w:sz w:val="20"/>
          <w:szCs w:val="20"/>
        </w:rPr>
        <w:t xml:space="preserve"> </w:t>
      </w:r>
      <w:r w:rsidR="00A10E19">
        <w:rPr>
          <w:rFonts w:ascii="Verdana" w:hAnsi="Verdana"/>
          <w:sz w:val="20"/>
          <w:szCs w:val="20"/>
        </w:rPr>
        <w:t>01 Ocak 1955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30"/>
        <w:gridCol w:w="2761"/>
        <w:gridCol w:w="1697"/>
      </w:tblGrid>
      <w:tr w:rsidR="00AF65FB" w:rsidTr="003E4A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E1335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Diş H</w:t>
            </w:r>
            <w:r w:rsidR="00996FC1">
              <w:rPr>
                <w:rFonts w:ascii="Verdana" w:hAnsi="Verdana"/>
                <w:sz w:val="20"/>
                <w:szCs w:val="20"/>
              </w:rPr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10E19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İstanbul</w:t>
            </w:r>
            <w:r w:rsidR="00996FC1">
              <w:rPr>
                <w:rFonts w:ascii="Verdana" w:hAnsi="Verdana"/>
                <w:sz w:val="20"/>
                <w:szCs w:val="20"/>
              </w:rPr>
              <w:t xml:space="preserve">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10E1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eastAsia="Arial Unicode MS" w:hAnsi="Verdana" w:cs="Arial Unicode MS"/>
                <w:sz w:val="20"/>
              </w:rPr>
              <w:t>1972 – 1977</w:t>
            </w:r>
          </w:p>
        </w:tc>
      </w:tr>
      <w:tr w:rsidR="00AD7F06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D7F06" w:rsidP="00AD7F0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10E19" w:rsidP="00FC770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Diş Hekimliği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10E19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Default="00A10E19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1982 – 1985</w:t>
            </w:r>
          </w:p>
        </w:tc>
      </w:tr>
    </w:tbl>
    <w:p w:rsidR="00707161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 </w:t>
      </w:r>
      <w:proofErr w:type="gramStart"/>
      <w:r w:rsidR="00707161">
        <w:rPr>
          <w:rFonts w:ascii="Verdana" w:hAnsi="Verdana"/>
          <w:b/>
          <w:sz w:val="20"/>
          <w:szCs w:val="20"/>
        </w:rPr>
        <w:t>ve  Danışman</w:t>
      </w:r>
      <w:proofErr w:type="gramEnd"/>
      <w:r w:rsidR="00707161">
        <w:rPr>
          <w:rFonts w:ascii="Verdana" w:hAnsi="Verdana"/>
          <w:b/>
          <w:sz w:val="20"/>
          <w:szCs w:val="20"/>
        </w:rPr>
        <w:t>(</w:t>
      </w:r>
      <w:proofErr w:type="spellStart"/>
      <w:r w:rsidR="00707161">
        <w:rPr>
          <w:rFonts w:ascii="Verdana" w:hAnsi="Verdana"/>
          <w:b/>
          <w:sz w:val="20"/>
          <w:szCs w:val="20"/>
        </w:rPr>
        <w:t>lar</w:t>
      </w:r>
      <w:proofErr w:type="spellEnd"/>
      <w:r w:rsidR="00707161">
        <w:rPr>
          <w:rFonts w:ascii="Verdana" w:hAnsi="Verdana"/>
          <w:b/>
          <w:sz w:val="20"/>
          <w:szCs w:val="20"/>
        </w:rPr>
        <w:t>)ı</w:t>
      </w:r>
      <w:r>
        <w:rPr>
          <w:rFonts w:ascii="Verdana" w:hAnsi="Verdana"/>
          <w:b/>
          <w:sz w:val="20"/>
          <w:szCs w:val="20"/>
        </w:rPr>
        <w:t>:</w:t>
      </w:r>
    </w:p>
    <w:p w:rsidR="00707161" w:rsidRDefault="00B034A1" w:rsidP="00707161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Deneysel kemikiçi defektlerinin tedavisinde periost ve hidroksiapatit kemik </w:t>
      </w:r>
      <w:proofErr w:type="spellStart"/>
      <w:r>
        <w:rPr>
          <w:rFonts w:ascii="Verdana" w:hAnsi="Verdana"/>
          <w:sz w:val="20"/>
          <w:szCs w:val="20"/>
        </w:rPr>
        <w:t>greftlerinin</w:t>
      </w:r>
      <w:proofErr w:type="spellEnd"/>
      <w:r>
        <w:rPr>
          <w:rFonts w:ascii="Verdana" w:hAnsi="Verdana"/>
          <w:sz w:val="20"/>
          <w:szCs w:val="20"/>
        </w:rPr>
        <w:t xml:space="preserve"> etkinliğinin değerlendirilmesi.</w:t>
      </w:r>
      <w:r w:rsidR="003F3726">
        <w:rPr>
          <w:rFonts w:ascii="Verdana" w:hAnsi="Verdana"/>
          <w:sz w:val="20"/>
          <w:szCs w:val="20"/>
        </w:rPr>
        <w:t xml:space="preserve"> HÜ Sağlık Bilimleri Enstitüsü 1985.</w:t>
      </w:r>
    </w:p>
    <w:p w:rsidR="00B034A1" w:rsidRDefault="00B034A1" w:rsidP="00707161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Prof.Dr</w:t>
      </w:r>
      <w:proofErr w:type="spellEnd"/>
      <w:r>
        <w:rPr>
          <w:rFonts w:ascii="Verdana" w:hAnsi="Verdana"/>
          <w:sz w:val="20"/>
          <w:szCs w:val="20"/>
        </w:rPr>
        <w:t xml:space="preserve">. Kenan </w:t>
      </w:r>
      <w:proofErr w:type="spellStart"/>
      <w:r>
        <w:rPr>
          <w:rFonts w:ascii="Verdana" w:hAnsi="Verdana"/>
          <w:sz w:val="20"/>
          <w:szCs w:val="20"/>
        </w:rPr>
        <w:t>Eratalay</w:t>
      </w:r>
      <w:proofErr w:type="spellEnd"/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6180"/>
        <w:gridCol w:w="1504"/>
      </w:tblGrid>
      <w:tr w:rsidR="00AF65FB" w:rsidTr="0029259B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Dişhekimi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Muayenehane</w:t>
            </w:r>
            <w:r w:rsidR="001104C8">
              <w:rPr>
                <w:rFonts w:ascii="Verdana" w:hAnsi="Verdana"/>
                <w:sz w:val="20"/>
                <w:szCs w:val="20"/>
              </w:rPr>
              <w:t xml:space="preserve"> Ankara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1977-1979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E722C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Diş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Tbp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Ast</w:t>
            </w:r>
            <w:r w:rsidR="00E722C6">
              <w:rPr>
                <w:rFonts w:ascii="Verdana" w:eastAsia="Arial Unicode MS" w:hAnsi="Verdana"/>
                <w:sz w:val="20"/>
              </w:rPr>
              <w:t>eğ</w:t>
            </w:r>
            <w:proofErr w:type="spellEnd"/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C05BA7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Ağrı Askeri Hastanesi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1979-1981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163B0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Dişhekimi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163B0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Muayenehane</w:t>
            </w:r>
            <w:r w:rsidR="001104C8">
              <w:rPr>
                <w:rFonts w:ascii="Verdana" w:hAnsi="Verdana"/>
                <w:sz w:val="20"/>
                <w:szCs w:val="20"/>
              </w:rPr>
              <w:t xml:space="preserve"> Ankara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1981-1982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Araştırma Görevlisi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Dt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>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0E19">
              <w:rPr>
                <w:rFonts w:ascii="Verdana" w:hAnsi="Verdana"/>
                <w:sz w:val="20"/>
                <w:szCs w:val="20"/>
              </w:rPr>
              <w:t>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1982-1985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0E19">
              <w:rPr>
                <w:rFonts w:ascii="Verdana" w:hAnsi="Verdana"/>
                <w:sz w:val="20"/>
                <w:szCs w:val="20"/>
              </w:rPr>
              <w:t>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1985-1988</w:t>
            </w:r>
          </w:p>
        </w:tc>
      </w:tr>
      <w:tr w:rsidR="003F3726" w:rsidTr="000A0FE0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Pr="002E1335" w:rsidRDefault="003F3726" w:rsidP="00B034A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0E19">
              <w:rPr>
                <w:rFonts w:ascii="Verdana" w:hAnsi="Verdana"/>
                <w:sz w:val="20"/>
                <w:szCs w:val="20"/>
              </w:rPr>
              <w:t>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1988-1992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Periodontoloji Klinik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Kuwait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 Amiri Dental Center </w:t>
            </w: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Dep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. Of </w:t>
            </w: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Periodontology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T.C. Sağlık bakanlığının isteği ve üniversitenin görevlendirmesiyle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1992-1993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Periodontoloji Klinik kurucu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Kuwait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Farwania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 Dental Center </w:t>
            </w: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Dep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. Of </w:t>
            </w:r>
            <w:proofErr w:type="spellStart"/>
            <w:r w:rsidRPr="00B034A1">
              <w:rPr>
                <w:rFonts w:ascii="Verdana" w:hAnsi="Verdana"/>
                <w:sz w:val="20"/>
                <w:szCs w:val="20"/>
              </w:rPr>
              <w:t>Periodontology</w:t>
            </w:r>
            <w:proofErr w:type="spellEnd"/>
            <w:r w:rsidRPr="00B034A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T.C. Sağlık bakanlığının isteği ve üniversitenin görevlendirmesiyle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1993-1994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Öğretim Üyesi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Prof.Dr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0E19">
              <w:rPr>
                <w:rFonts w:ascii="Verdana" w:hAnsi="Verdana"/>
                <w:sz w:val="20"/>
                <w:szCs w:val="20"/>
              </w:rPr>
              <w:t>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1994-2008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Prof.Dr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Anabilim Dalı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Yakındoğu Üniversitesi Dişhekimliği Fakültesi Periodontoloji Anabilim</w:t>
            </w:r>
            <w:r>
              <w:rPr>
                <w:rFonts w:ascii="Verdana" w:hAnsi="Verdana"/>
                <w:sz w:val="20"/>
                <w:szCs w:val="20"/>
              </w:rPr>
              <w:t xml:space="preserve">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 Halen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Eğitim Komisyonu sekreterliği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 xml:space="preserve">Türk </w:t>
            </w:r>
            <w:proofErr w:type="spellStart"/>
            <w:r w:rsidRPr="00174F70">
              <w:rPr>
                <w:rFonts w:ascii="Verdana" w:hAnsi="Verdana"/>
                <w:sz w:val="20"/>
                <w:szCs w:val="20"/>
              </w:rPr>
              <w:t>Dişhekimleri</w:t>
            </w:r>
            <w:proofErr w:type="spellEnd"/>
            <w:r w:rsidRPr="00174F70">
              <w:rPr>
                <w:rFonts w:ascii="Verdana" w:hAnsi="Verdana"/>
                <w:sz w:val="20"/>
                <w:szCs w:val="20"/>
              </w:rPr>
              <w:t xml:space="preserve"> Birliği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1997-1998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Pr="00174F70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174F70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önetim kurulu üyeliği</w:t>
            </w:r>
            <w:r>
              <w:rPr>
                <w:rFonts w:ascii="Verdana" w:hAnsi="Verdana"/>
                <w:sz w:val="20"/>
                <w:szCs w:val="20"/>
              </w:rPr>
              <w:t xml:space="preserve"> başkanlık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Türk Periodontoloji Derneği Ankara Şubesi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1999-2009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önetim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 xml:space="preserve">Türk Periodontoloji Derneği </w:t>
            </w:r>
            <w:r>
              <w:rPr>
                <w:rFonts w:ascii="Verdana" w:hAnsi="Verdana"/>
                <w:sz w:val="20"/>
                <w:szCs w:val="20"/>
              </w:rPr>
              <w:t>Genel Merkezi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2008-2010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ayım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0E19">
              <w:rPr>
                <w:rFonts w:ascii="Verdana" w:hAnsi="Verdana"/>
                <w:sz w:val="20"/>
                <w:szCs w:val="20"/>
              </w:rPr>
              <w:t>Üniversitesi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4F70">
              <w:rPr>
                <w:rFonts w:ascii="Verdana" w:hAnsi="Verdana"/>
                <w:sz w:val="20"/>
                <w:szCs w:val="20"/>
              </w:rPr>
              <w:t>Dişhekimliği Fakültesi Dergisi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2003-2009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Yönetim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Yakındoğu Üniversitesi Dişhekimliği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 Halen</w:t>
            </w:r>
          </w:p>
        </w:tc>
        <w:bookmarkStart w:id="0" w:name="_GoBack"/>
        <w:bookmarkEnd w:id="0"/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Yönetim kurulu Asbaşkanlığı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 xml:space="preserve">Kıbrıs Türk </w:t>
            </w:r>
            <w:proofErr w:type="spellStart"/>
            <w:r w:rsidRPr="00174F70">
              <w:rPr>
                <w:rFonts w:ascii="Verdana" w:hAnsi="Verdana"/>
                <w:sz w:val="20"/>
                <w:szCs w:val="20"/>
              </w:rPr>
              <w:t>Dişhekimleri</w:t>
            </w:r>
            <w:proofErr w:type="spellEnd"/>
            <w:r w:rsidRPr="00174F70">
              <w:rPr>
                <w:rFonts w:ascii="Verdana" w:hAnsi="Verdana"/>
                <w:sz w:val="20"/>
                <w:szCs w:val="20"/>
              </w:rPr>
              <w:t xml:space="preserve"> Odası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5536C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2012- </w:t>
            </w:r>
            <w:r w:rsidR="005536CC">
              <w:rPr>
                <w:rFonts w:ascii="Verdana" w:hAnsi="Verdana"/>
                <w:sz w:val="20"/>
                <w:szCs w:val="20"/>
              </w:rPr>
              <w:t>2015</w:t>
            </w:r>
          </w:p>
        </w:tc>
      </w:tr>
    </w:tbl>
    <w:p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Açılmışsa,yazdöneminde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verilen dersler de tabloya ilave edilecektir)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1437F8" w:rsidRDefault="001437F8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AF65FB" w:rsidRPr="00974A35" w:rsidTr="00940BE8">
        <w:trPr>
          <w:cantSplit/>
        </w:trPr>
        <w:tc>
          <w:tcPr>
            <w:tcW w:w="1326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AF65FB" w:rsidRPr="00974A35" w:rsidTr="0090477D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925" w:type="dxa"/>
          </w:tcPr>
          <w:p w:rsidR="00AF65FB" w:rsidRPr="00974A3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:rsidR="00AF65FB" w:rsidRPr="00974A3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90477D" w:rsidRPr="00974A35" w:rsidTr="0090477D">
        <w:trPr>
          <w:cantSplit/>
        </w:trPr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90477D" w:rsidRPr="00974A35" w:rsidRDefault="0090477D" w:rsidP="00940BE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2012-2015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gramStart"/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 xml:space="preserve">.T.312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3.Sınıf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DH İMP İmplantoloji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D11DC4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0477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Toplum Ağ Diş sağ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Eğ</w:t>
            </w:r>
            <w:proofErr w:type="gramEnd"/>
          </w:p>
        </w:tc>
        <w:tc>
          <w:tcPr>
            <w:tcW w:w="925" w:type="dxa"/>
          </w:tcPr>
          <w:p w:rsidR="0090477D" w:rsidRPr="00974A35" w:rsidRDefault="00CF548E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 w:rsidP="00CE74D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.T.512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F11FA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gramStart"/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>.T.312 Periodontoloji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3.Sınıf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F11FA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>.T.412 Periodontoloji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584C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84C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584C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DDHP.PER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.T.512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84C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</w:tbl>
    <w:p w:rsidR="00974A35" w:rsidRPr="00974A35" w:rsidRDefault="00974A35" w:rsidP="00974A35">
      <w:pPr>
        <w:rPr>
          <w:lang w:eastAsia="tr-TR"/>
        </w:rPr>
      </w:pPr>
      <w:r w:rsidRPr="00974A35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3AEA2D" wp14:editId="4B366942">
                <wp:simplePos x="0" y="0"/>
                <wp:positionH relativeFrom="column">
                  <wp:posOffset>1200150</wp:posOffset>
                </wp:positionH>
                <wp:positionV relativeFrom="paragraph">
                  <wp:posOffset>4562475</wp:posOffset>
                </wp:positionV>
                <wp:extent cx="5575300" cy="13368020"/>
                <wp:effectExtent l="0" t="0" r="0" b="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575300" cy="133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94.5pt;margin-top:359.25pt;width:439pt;height:105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</w:p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660"/>
      </w:tblGrid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336666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widowControl w:val="0"/>
              <w:spacing w:after="280"/>
              <w:rPr>
                <w:rFonts w:ascii="Verdana" w:hAnsi="Verdana" w:cs="Arial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974A35">
              <w:rPr>
                <w:rFonts w:ascii="Verdana" w:hAnsi="Verdana" w:cs="Arial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7660" w:type="dxa"/>
            <w:tcBorders>
              <w:top w:val="single" w:sz="4" w:space="0" w:color="336666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widowControl w:val="0"/>
              <w:spacing w:after="280"/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974A35">
              <w:rPr>
                <w:rFonts w:ascii="Verdana" w:hAnsi="Verdana" w:cs="Arial"/>
                <w:b/>
                <w:bCs/>
                <w:color w:val="000000"/>
                <w:kern w:val="28"/>
                <w:sz w:val="20"/>
                <w:szCs w:val="20"/>
                <w:lang w:eastAsia="tr-TR"/>
                <w14:cntxtAlts/>
              </w:rPr>
              <w:t>Doktora Dersleri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Periodontal açıdan ağız sağlığı sürdürülmesi ve yöntemleri </w:t>
            </w: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motivasyon</w:t>
            </w:r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 xml:space="preserve">, oral hijyen teknikleri, hasta eğitimi,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depurasyon</w:t>
            </w:r>
            <w:proofErr w:type="spellEnd"/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dokuların morfoloji ve fizyolojisi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Cerrahi olmayan periodontal tedavi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 etiyolojisi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Mukogingival cerrahi teknikler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Periodontal hastalıklarda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patogenez</w:t>
            </w:r>
            <w:proofErr w:type="spellEnd"/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Geliştirilmiş periodontal cerrahi teknikleri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 epidemiyolojisi ve epidemiyolojik araştırma yöntemleri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lastRenderedPageBreak/>
              <w:t>DPD 611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tedavinin uzun dönem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cerrahi teknikleri (</w:t>
            </w:r>
            <w:proofErr w:type="spellStart"/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Gingivektomi,Gingivoplasti</w:t>
            </w:r>
            <w:proofErr w:type="spellEnd"/>
            <w:proofErr w:type="gramEnd"/>
            <w:r w:rsidRPr="00974A35">
              <w:rPr>
                <w:rFonts w:ascii="Verdana" w:hAnsi="Verdana"/>
                <w:sz w:val="20"/>
                <w:szCs w:val="20"/>
              </w:rPr>
              <w:t>-Flep)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Deney hayvanlarında deneysel periodontal hastalık ve tedavisi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Hayvanlarda periodontal dokular ve doğal periodontal hastalıklar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Dental implantlara periodontal yaklaşım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Akut periodontal yaralanmalar ve tedavileri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Periyodonsiyumun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benign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ve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malign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tümöral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oluşumları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Kimyasal plak </w:t>
            </w: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eliminasyonu</w:t>
            </w:r>
            <w:proofErr w:type="gramEnd"/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doku cevaplarının ortodontik tedavi dönemindeki önemi</w:t>
            </w:r>
          </w:p>
        </w:tc>
      </w:tr>
      <w:tr w:rsidR="00974A35" w:rsidRPr="00974A35" w:rsidTr="00974A35">
        <w:trPr>
          <w:trHeight w:val="57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tedavi planlamasında protetik yaklaşımlar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Lokal ilaç uygulaması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Periodontal hastalık tanısında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diagnostik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74A35">
              <w:rPr>
                <w:rFonts w:ascii="Verdana" w:hAnsi="Verdana"/>
                <w:sz w:val="20"/>
                <w:szCs w:val="20"/>
              </w:rPr>
              <w:t>kriterler</w:t>
            </w:r>
            <w:proofErr w:type="gramEnd"/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Peridontolojide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kullanılan biyomateryaller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Periodontoloji’de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klinik araştırma yöntemleri</w:t>
            </w:r>
          </w:p>
        </w:tc>
      </w:tr>
      <w:tr w:rsidR="00974A35" w:rsidRPr="00974A35" w:rsidTr="00974A35">
        <w:trPr>
          <w:trHeight w:val="577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Fonksiyonel kuvvetlerin periodontal dokular üzerindeki etkilerinin in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vitro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Biyomekaniğin hastalıklı periodonsiyum üzerine etkilerinin in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vitro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Yaşlanma ve periodontal sağlık</w:t>
            </w:r>
          </w:p>
        </w:tc>
      </w:tr>
      <w:tr w:rsidR="00974A35" w:rsidRPr="00974A35" w:rsidTr="00974A35">
        <w:trPr>
          <w:trHeight w:val="63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hastalıkların sistemik hastalıklar üzerine etkileri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hastalığın mikrobiyolojisi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Oral </w:t>
            </w: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İmplantoloji’de</w:t>
            </w:r>
            <w:proofErr w:type="spellEnd"/>
            <w:r w:rsidRPr="00974A35">
              <w:rPr>
                <w:rFonts w:ascii="Verdana" w:hAnsi="Verdana"/>
                <w:sz w:val="20"/>
                <w:szCs w:val="20"/>
              </w:rPr>
              <w:t xml:space="preserve"> hasta seçimi ve teşhis araçlarının kullanımı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Oral implantoloji uygulamaları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İmplant uygulamalarında idame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lastRenderedPageBreak/>
              <w:t>DPD 633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İmplant çevresi hastalıkların teşhis ve tedavisi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4A35">
              <w:rPr>
                <w:rFonts w:ascii="Verdana" w:hAnsi="Verdana"/>
                <w:sz w:val="20"/>
                <w:szCs w:val="20"/>
              </w:rPr>
              <w:t>Biyoistatistik</w:t>
            </w:r>
            <w:proofErr w:type="spellEnd"/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Araştırma metotları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336666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336666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Ergonomi</w:t>
            </w:r>
          </w:p>
        </w:tc>
      </w:tr>
    </w:tbl>
    <w:p w:rsidR="00974A35" w:rsidRDefault="00974A35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sectPr w:rsidR="00974A35" w:rsidSect="00BC2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6E" w:rsidRDefault="00320F6E" w:rsidP="00D01495">
      <w:r>
        <w:separator/>
      </w:r>
    </w:p>
  </w:endnote>
  <w:endnote w:type="continuationSeparator" w:id="0">
    <w:p w:rsidR="00320F6E" w:rsidRDefault="00320F6E" w:rsidP="00D0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91" w:rsidRPr="00B94FBC" w:rsidRDefault="00B034A1" w:rsidP="00B94FBC">
    <w:pPr>
      <w:pStyle w:val="Altbilgi"/>
      <w:pBdr>
        <w:top w:val="thinThickSmallGap" w:sz="24" w:space="1" w:color="622423"/>
      </w:pBdr>
      <w:rPr>
        <w:rFonts w:ascii="Cambria" w:hAnsi="Cambria"/>
      </w:rPr>
    </w:pPr>
    <w:proofErr w:type="spellStart"/>
    <w:r>
      <w:rPr>
        <w:rFonts w:ascii="Cambria" w:hAnsi="Cambria"/>
      </w:rPr>
      <w:t>Prof.Dr</w:t>
    </w:r>
    <w:proofErr w:type="spellEnd"/>
    <w:r>
      <w:rPr>
        <w:rFonts w:ascii="Cambria" w:hAnsi="Cambria"/>
      </w:rPr>
      <w:t>. Atilla Berberoğlu</w:t>
    </w:r>
    <w:r w:rsidR="00A23691" w:rsidRPr="00B94FBC">
      <w:rPr>
        <w:rFonts w:ascii="Cambria" w:hAnsi="Cambria"/>
      </w:rPr>
      <w:t xml:space="preserve"> </w:t>
    </w:r>
    <w:r w:rsidR="00573BB2" w:rsidRPr="00B94FBC">
      <w:rPr>
        <w:rFonts w:ascii="Cambria" w:hAnsi="Cambria"/>
      </w:rPr>
      <w:tab/>
    </w:r>
    <w:r w:rsidR="00573BB2" w:rsidRPr="00B94FBC">
      <w:rPr>
        <w:rFonts w:ascii="Cambria" w:hAnsi="Cambria"/>
      </w:rPr>
      <w:tab/>
    </w:r>
    <w:r w:rsidR="00A23691" w:rsidRPr="00B94FBC">
      <w:rPr>
        <w:rFonts w:ascii="Cambria" w:hAnsi="Cambria"/>
      </w:rPr>
      <w:t xml:space="preserve">Sayfa </w:t>
    </w:r>
    <w:r w:rsidR="00C2249E" w:rsidRPr="00B94FBC">
      <w:fldChar w:fldCharType="begin"/>
    </w:r>
    <w:r w:rsidR="00B94FBC">
      <w:instrText xml:space="preserve"> PAGE   \* MERGEFORMAT </w:instrText>
    </w:r>
    <w:r w:rsidR="00C2249E" w:rsidRPr="00B94FBC">
      <w:fldChar w:fldCharType="separate"/>
    </w:r>
    <w:r w:rsidR="005536CC" w:rsidRPr="005536CC">
      <w:rPr>
        <w:rFonts w:ascii="Cambria" w:hAnsi="Cambria"/>
        <w:noProof/>
      </w:rPr>
      <w:t>2</w:t>
    </w:r>
    <w:r w:rsidR="00C2249E" w:rsidRPr="00B94FBC">
      <w:rPr>
        <w:rFonts w:ascii="Cambria" w:hAnsi="Cambria"/>
        <w:noProof/>
      </w:rPr>
      <w:fldChar w:fldCharType="end"/>
    </w:r>
    <w:r w:rsidR="00F11469">
      <w:t>/6</w:t>
    </w:r>
  </w:p>
  <w:p w:rsidR="00D01495" w:rsidRDefault="00D01495" w:rsidP="00D1343F">
    <w:pPr>
      <w:pStyle w:val="Altbilgi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6E" w:rsidRDefault="00320F6E" w:rsidP="00D01495">
      <w:r>
        <w:separator/>
      </w:r>
    </w:p>
  </w:footnote>
  <w:footnote w:type="continuationSeparator" w:id="0">
    <w:p w:rsidR="00320F6E" w:rsidRDefault="00320F6E" w:rsidP="00D0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32005"/>
    <w:rsid w:val="00064E16"/>
    <w:rsid w:val="00081B4B"/>
    <w:rsid w:val="000A0FE0"/>
    <w:rsid w:val="000C456F"/>
    <w:rsid w:val="001104C8"/>
    <w:rsid w:val="00111D6A"/>
    <w:rsid w:val="001134BA"/>
    <w:rsid w:val="00131C96"/>
    <w:rsid w:val="00142159"/>
    <w:rsid w:val="001437F8"/>
    <w:rsid w:val="001651A5"/>
    <w:rsid w:val="00174F70"/>
    <w:rsid w:val="00282318"/>
    <w:rsid w:val="00285C1F"/>
    <w:rsid w:val="0029259B"/>
    <w:rsid w:val="002C383C"/>
    <w:rsid w:val="002C6822"/>
    <w:rsid w:val="002D0722"/>
    <w:rsid w:val="002E1335"/>
    <w:rsid w:val="002F767A"/>
    <w:rsid w:val="00320F6E"/>
    <w:rsid w:val="003453AA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3F3726"/>
    <w:rsid w:val="004A0936"/>
    <w:rsid w:val="005028E8"/>
    <w:rsid w:val="005536CC"/>
    <w:rsid w:val="005602CC"/>
    <w:rsid w:val="00567351"/>
    <w:rsid w:val="00573BB2"/>
    <w:rsid w:val="00590F76"/>
    <w:rsid w:val="005B51A8"/>
    <w:rsid w:val="005C4A5D"/>
    <w:rsid w:val="005D29CF"/>
    <w:rsid w:val="005D5987"/>
    <w:rsid w:val="005D7B30"/>
    <w:rsid w:val="00611DCF"/>
    <w:rsid w:val="006127C6"/>
    <w:rsid w:val="0065126E"/>
    <w:rsid w:val="006601E7"/>
    <w:rsid w:val="00685770"/>
    <w:rsid w:val="006A3893"/>
    <w:rsid w:val="006A7B64"/>
    <w:rsid w:val="006B0858"/>
    <w:rsid w:val="006C7D7F"/>
    <w:rsid w:val="006D20EC"/>
    <w:rsid w:val="006E5FED"/>
    <w:rsid w:val="006F4148"/>
    <w:rsid w:val="00707161"/>
    <w:rsid w:val="007168C7"/>
    <w:rsid w:val="00740841"/>
    <w:rsid w:val="00750824"/>
    <w:rsid w:val="00751C12"/>
    <w:rsid w:val="00784659"/>
    <w:rsid w:val="00792E6A"/>
    <w:rsid w:val="007B4EE9"/>
    <w:rsid w:val="008054B3"/>
    <w:rsid w:val="00856914"/>
    <w:rsid w:val="00865B5E"/>
    <w:rsid w:val="008B120F"/>
    <w:rsid w:val="0090477D"/>
    <w:rsid w:val="00937ABD"/>
    <w:rsid w:val="00940BE8"/>
    <w:rsid w:val="00945D64"/>
    <w:rsid w:val="009530F0"/>
    <w:rsid w:val="009714AE"/>
    <w:rsid w:val="009719D2"/>
    <w:rsid w:val="00974A35"/>
    <w:rsid w:val="00981AD9"/>
    <w:rsid w:val="00996FC1"/>
    <w:rsid w:val="009A3AB7"/>
    <w:rsid w:val="009B7871"/>
    <w:rsid w:val="009C202F"/>
    <w:rsid w:val="009D5B78"/>
    <w:rsid w:val="00A10E19"/>
    <w:rsid w:val="00A20F7B"/>
    <w:rsid w:val="00A23691"/>
    <w:rsid w:val="00A82125"/>
    <w:rsid w:val="00AB3F8A"/>
    <w:rsid w:val="00AB4AFD"/>
    <w:rsid w:val="00AD7F06"/>
    <w:rsid w:val="00AF65FB"/>
    <w:rsid w:val="00B034A1"/>
    <w:rsid w:val="00B17016"/>
    <w:rsid w:val="00B2336F"/>
    <w:rsid w:val="00B8697D"/>
    <w:rsid w:val="00B94FBC"/>
    <w:rsid w:val="00B96A53"/>
    <w:rsid w:val="00BC28A8"/>
    <w:rsid w:val="00BF1364"/>
    <w:rsid w:val="00C2249E"/>
    <w:rsid w:val="00C32BEF"/>
    <w:rsid w:val="00C41382"/>
    <w:rsid w:val="00C551E3"/>
    <w:rsid w:val="00C809F7"/>
    <w:rsid w:val="00C926A4"/>
    <w:rsid w:val="00CA21FF"/>
    <w:rsid w:val="00CB42E5"/>
    <w:rsid w:val="00CD322A"/>
    <w:rsid w:val="00CF1E42"/>
    <w:rsid w:val="00CF548E"/>
    <w:rsid w:val="00D01495"/>
    <w:rsid w:val="00D1343F"/>
    <w:rsid w:val="00D22D5D"/>
    <w:rsid w:val="00D45CE6"/>
    <w:rsid w:val="00D54228"/>
    <w:rsid w:val="00D562D9"/>
    <w:rsid w:val="00D81A33"/>
    <w:rsid w:val="00DC019B"/>
    <w:rsid w:val="00DC2F1C"/>
    <w:rsid w:val="00DC375B"/>
    <w:rsid w:val="00DC3919"/>
    <w:rsid w:val="00DC77CE"/>
    <w:rsid w:val="00DF77DF"/>
    <w:rsid w:val="00E057EC"/>
    <w:rsid w:val="00E124CB"/>
    <w:rsid w:val="00E159BA"/>
    <w:rsid w:val="00E32F9F"/>
    <w:rsid w:val="00E33AA7"/>
    <w:rsid w:val="00E36D5E"/>
    <w:rsid w:val="00E6359C"/>
    <w:rsid w:val="00E722C6"/>
    <w:rsid w:val="00EC714A"/>
    <w:rsid w:val="00F11469"/>
    <w:rsid w:val="00F11FAC"/>
    <w:rsid w:val="00F202B1"/>
    <w:rsid w:val="00F42FAE"/>
    <w:rsid w:val="00F65777"/>
    <w:rsid w:val="00FA2C00"/>
    <w:rsid w:val="00FA57CD"/>
    <w:rsid w:val="00FB45CE"/>
    <w:rsid w:val="00FC770D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By NeC ® 2010 | Katilimsiz.Com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Yakın Doğu Üniversitesi</cp:lastModifiedBy>
  <cp:revision>3</cp:revision>
  <cp:lastPrinted>2012-01-19T08:20:00Z</cp:lastPrinted>
  <dcterms:created xsi:type="dcterms:W3CDTF">2015-11-18T09:52:00Z</dcterms:created>
  <dcterms:modified xsi:type="dcterms:W3CDTF">2015-11-25T09:02:00Z</dcterms:modified>
</cp:coreProperties>
</file>