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B2" w:rsidRDefault="00E226B2" w:rsidP="00E226B2">
      <w:proofErr w:type="spellStart"/>
      <w:proofErr w:type="gramStart"/>
      <w:r>
        <w:t>M.Sc.İpek</w:t>
      </w:r>
      <w:proofErr w:type="spellEnd"/>
      <w:proofErr w:type="gramEnd"/>
      <w:r>
        <w:t xml:space="preserve"> ÖZSOY</w:t>
      </w:r>
    </w:p>
    <w:p w:rsidR="00E226B2" w:rsidRDefault="00E226B2" w:rsidP="00E226B2">
      <w:r>
        <w:t xml:space="preserve">İpek ÖZSOY,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born</w:t>
      </w:r>
      <w:proofErr w:type="spellEnd"/>
      <w:r>
        <w:t xml:space="preserve"> in 1985 in Güzelyurt.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completing</w:t>
      </w:r>
      <w:proofErr w:type="spellEnd"/>
      <w:r>
        <w:t xml:space="preserve"> her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in Güzelyurt Kurtuluş </w:t>
      </w:r>
      <w:proofErr w:type="spellStart"/>
      <w:r>
        <w:t>Elementary</w:t>
      </w:r>
      <w:proofErr w:type="spellEnd"/>
      <w:r>
        <w:t xml:space="preserve"> School (1991-1996),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middle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in Güzelyurt </w:t>
      </w:r>
      <w:proofErr w:type="spellStart"/>
      <w:r>
        <w:t>Turkish</w:t>
      </w:r>
      <w:proofErr w:type="spellEnd"/>
      <w:r>
        <w:t xml:space="preserve"> Maarif </w:t>
      </w:r>
      <w:proofErr w:type="spellStart"/>
      <w:r>
        <w:t>College</w:t>
      </w:r>
      <w:proofErr w:type="spellEnd"/>
      <w:r>
        <w:t xml:space="preserve"> (1996-2002).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graduating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East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Psychology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(2006-2010),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graduated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East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Psychology</w:t>
      </w:r>
      <w:proofErr w:type="spellEnd"/>
      <w:r>
        <w:t xml:space="preserve"> Master Program (2010-2012). </w:t>
      </w:r>
      <w:proofErr w:type="spellStart"/>
      <w:r>
        <w:t>In</w:t>
      </w:r>
      <w:proofErr w:type="spellEnd"/>
      <w:r>
        <w:t xml:space="preserve"> 2013,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in </w:t>
      </w:r>
      <w:proofErr w:type="spellStart"/>
      <w:r>
        <w:t>Near</w:t>
      </w:r>
      <w:proofErr w:type="spellEnd"/>
      <w:r>
        <w:t xml:space="preserve"> East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Psychology</w:t>
      </w:r>
      <w:proofErr w:type="spellEnd"/>
      <w:r>
        <w:t xml:space="preserve"> </w:t>
      </w:r>
      <w:proofErr w:type="spellStart"/>
      <w:r>
        <w:t>Doctorate</w:t>
      </w:r>
      <w:proofErr w:type="spellEnd"/>
      <w:r>
        <w:t xml:space="preserve"> Program,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continuing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proofErr w:type="gramStart"/>
      <w:r>
        <w:t>made</w:t>
      </w:r>
      <w:proofErr w:type="spellEnd"/>
      <w:r>
        <w:t xml:space="preserve">  </w:t>
      </w:r>
      <w:proofErr w:type="spellStart"/>
      <w:r>
        <w:t>researches</w:t>
      </w:r>
      <w:proofErr w:type="spellEnd"/>
      <w:proofErr w:type="gramEnd"/>
      <w:r>
        <w:t xml:space="preserve"> </w:t>
      </w:r>
      <w:proofErr w:type="spellStart"/>
      <w:r>
        <w:t>named</w:t>
      </w:r>
      <w:proofErr w:type="spellEnd"/>
      <w:r>
        <w:t xml:space="preserve"> as ‘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of </w:t>
      </w:r>
      <w:proofErr w:type="spellStart"/>
      <w:r>
        <w:t>Flood</w:t>
      </w:r>
      <w:proofErr w:type="spellEnd"/>
      <w:r>
        <w:t xml:space="preserve"> </w:t>
      </w:r>
      <w:proofErr w:type="spellStart"/>
      <w:r>
        <w:t>Disaster</w:t>
      </w:r>
      <w:proofErr w:type="spellEnd"/>
      <w:r>
        <w:t xml:space="preserve"> in TRNC’ as final </w:t>
      </w:r>
      <w:proofErr w:type="spellStart"/>
      <w:r>
        <w:t>dissertation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Mobbing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Demographic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 xml:space="preserve">, </w:t>
      </w:r>
      <w:proofErr w:type="spellStart"/>
      <w:r>
        <w:t>Personality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Disorders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Employees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At High Schools </w:t>
      </w:r>
      <w:proofErr w:type="spellStart"/>
      <w:r>
        <w:t>In</w:t>
      </w:r>
      <w:proofErr w:type="spellEnd"/>
      <w:r>
        <w:t xml:space="preserve"> </w:t>
      </w:r>
      <w:proofErr w:type="spellStart"/>
      <w:r>
        <w:t>Northern</w:t>
      </w:r>
      <w:proofErr w:type="spellEnd"/>
      <w:r>
        <w:t xml:space="preserve"> </w:t>
      </w:r>
      <w:proofErr w:type="spellStart"/>
      <w:r>
        <w:t>Cyprus</w:t>
      </w:r>
      <w:proofErr w:type="spellEnd"/>
      <w:r>
        <w:t xml:space="preserve">’ as </w:t>
      </w:r>
      <w:proofErr w:type="spellStart"/>
      <w:r>
        <w:t>master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researchers</w:t>
      </w:r>
      <w:proofErr w:type="spellEnd"/>
      <w:r>
        <w:t xml:space="preserve"> in a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conducted</w:t>
      </w:r>
      <w:proofErr w:type="spellEnd"/>
      <w:r>
        <w:t xml:space="preserve"> in 2015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Prevalance</w:t>
      </w:r>
      <w:proofErr w:type="spellEnd"/>
      <w:r>
        <w:t xml:space="preserve"> Of </w:t>
      </w:r>
      <w:proofErr w:type="spellStart"/>
      <w:r>
        <w:t>Psychoactive</w:t>
      </w:r>
      <w:proofErr w:type="spellEnd"/>
      <w:r>
        <w:t xml:space="preserve"> </w:t>
      </w:r>
      <w:proofErr w:type="spellStart"/>
      <w:r>
        <w:t>Drug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Secondary</w:t>
      </w:r>
      <w:proofErr w:type="spellEnd"/>
      <w:r>
        <w:t xml:space="preserve"> School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Of </w:t>
      </w:r>
      <w:proofErr w:type="spellStart"/>
      <w:r>
        <w:t>Northern</w:t>
      </w:r>
      <w:proofErr w:type="spellEnd"/>
      <w:r>
        <w:t xml:space="preserve"> </w:t>
      </w:r>
      <w:proofErr w:type="spellStart"/>
      <w:r>
        <w:t>Cyprus</w:t>
      </w:r>
      <w:proofErr w:type="spellEnd"/>
      <w:r>
        <w:t>.</w:t>
      </w:r>
    </w:p>
    <w:p w:rsidR="00E226B2" w:rsidRDefault="00E226B2" w:rsidP="00E226B2">
      <w:proofErr w:type="spellStart"/>
      <w:r>
        <w:t>During</w:t>
      </w:r>
      <w:proofErr w:type="spellEnd"/>
      <w:r>
        <w:t xml:space="preserve"> her </w:t>
      </w:r>
      <w:proofErr w:type="spellStart"/>
      <w:r>
        <w:t>education</w:t>
      </w:r>
      <w:proofErr w:type="spellEnd"/>
      <w:r>
        <w:t xml:space="preserve"> life,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her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psychology</w:t>
      </w:r>
      <w:proofErr w:type="spellEnd"/>
      <w:r>
        <w:t xml:space="preserve"> </w:t>
      </w:r>
      <w:proofErr w:type="spellStart"/>
      <w:r>
        <w:t>internships</w:t>
      </w:r>
      <w:proofErr w:type="spellEnd"/>
      <w:r>
        <w:t xml:space="preserve"> in Bakırköy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Hospital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Mental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Neurological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Barış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Hospital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Mental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Neurological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,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her </w:t>
      </w:r>
      <w:proofErr w:type="spellStart"/>
      <w:r>
        <w:t>developmental</w:t>
      </w:r>
      <w:proofErr w:type="spellEnd"/>
      <w:r>
        <w:t xml:space="preserve"> </w:t>
      </w:r>
      <w:proofErr w:type="spellStart"/>
      <w:r>
        <w:t>psychology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in a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nursery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in a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hospital</w:t>
      </w:r>
      <w:proofErr w:type="spellEnd"/>
      <w:r>
        <w:t xml:space="preserve"> as a </w:t>
      </w:r>
      <w:proofErr w:type="spellStart"/>
      <w:proofErr w:type="gramStart"/>
      <w:r>
        <w:t>psychologist</w:t>
      </w:r>
      <w:proofErr w:type="spellEnd"/>
      <w:r>
        <w:t xml:space="preserve"> , </w:t>
      </w:r>
      <w:proofErr w:type="spellStart"/>
      <w:r>
        <w:t>she</w:t>
      </w:r>
      <w:proofErr w:type="spellEnd"/>
      <w:proofErr w:type="gramEnd"/>
      <w:r>
        <w:t xml:space="preserve">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practicing</w:t>
      </w:r>
      <w:proofErr w:type="spellEnd"/>
      <w:r>
        <w:t xml:space="preserve"> in her </w:t>
      </w:r>
      <w:proofErr w:type="spellStart"/>
      <w:r>
        <w:t>own</w:t>
      </w:r>
      <w:proofErr w:type="spellEnd"/>
      <w:r>
        <w:t xml:space="preserve"> </w:t>
      </w:r>
      <w:proofErr w:type="spellStart"/>
      <w:r>
        <w:t>clinic</w:t>
      </w:r>
      <w:proofErr w:type="spellEnd"/>
      <w:r>
        <w:t xml:space="preserve">. </w:t>
      </w:r>
      <w:proofErr w:type="spellStart"/>
      <w:r>
        <w:t>From</w:t>
      </w:r>
      <w:proofErr w:type="spellEnd"/>
      <w:r>
        <w:t xml:space="preserve"> 2013-2014 </w:t>
      </w:r>
      <w:proofErr w:type="spellStart"/>
      <w:r>
        <w:t>fall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 is </w:t>
      </w:r>
      <w:proofErr w:type="spellStart"/>
      <w:r>
        <w:t>working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of </w:t>
      </w:r>
      <w:proofErr w:type="spellStart"/>
      <w:r>
        <w:t>psychology</w:t>
      </w:r>
      <w:proofErr w:type="spellEnd"/>
      <w:r>
        <w:t xml:space="preserve"> in </w:t>
      </w:r>
      <w:proofErr w:type="spellStart"/>
      <w:r>
        <w:t>Near</w:t>
      </w:r>
      <w:proofErr w:type="spellEnd"/>
      <w:r>
        <w:t xml:space="preserve"> East </w:t>
      </w:r>
      <w:proofErr w:type="spellStart"/>
      <w:r>
        <w:t>University</w:t>
      </w:r>
      <w:proofErr w:type="spellEnd"/>
      <w:r>
        <w:t xml:space="preserve"> as a </w:t>
      </w:r>
      <w:proofErr w:type="spellStart"/>
      <w:r>
        <w:t>lecturer</w:t>
      </w:r>
      <w:proofErr w:type="spellEnd"/>
      <w:r>
        <w:t>.</w:t>
      </w:r>
    </w:p>
    <w:p w:rsidR="006811FD" w:rsidRDefault="00E226B2" w:rsidP="006811FD">
      <w:proofErr w:type="spellStart"/>
      <w:r>
        <w:t>She</w:t>
      </w:r>
      <w:proofErr w:type="spellEnd"/>
      <w:r>
        <w:t xml:space="preserve"> has 250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Positive</w:t>
      </w:r>
      <w:proofErr w:type="spellEnd"/>
      <w:r>
        <w:t xml:space="preserve"> </w:t>
      </w:r>
      <w:proofErr w:type="spellStart"/>
      <w:r>
        <w:t>Psychotherapy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, 90 </w:t>
      </w:r>
      <w:proofErr w:type="spellStart"/>
      <w:r>
        <w:t>hours</w:t>
      </w:r>
      <w:proofErr w:type="spellEnd"/>
      <w:r>
        <w:t xml:space="preserve"> NAADAC </w:t>
      </w:r>
      <w:proofErr w:type="spellStart"/>
      <w:r>
        <w:t>Substance</w:t>
      </w:r>
      <w:proofErr w:type="spellEnd"/>
      <w:r>
        <w:t xml:space="preserve"> </w:t>
      </w:r>
      <w:proofErr w:type="spellStart"/>
      <w:r>
        <w:t>Abuse</w:t>
      </w:r>
      <w:proofErr w:type="spellEnd"/>
      <w:r>
        <w:t xml:space="preserve"> </w:t>
      </w:r>
      <w:proofErr w:type="spellStart"/>
      <w:r>
        <w:t>Counseling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, 50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Forensic</w:t>
      </w:r>
      <w:proofErr w:type="spellEnd"/>
      <w:r>
        <w:t xml:space="preserve"> </w:t>
      </w:r>
      <w:proofErr w:type="spellStart"/>
      <w:r>
        <w:t>Psychology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in </w:t>
      </w:r>
      <w:proofErr w:type="spellStart"/>
      <w:r>
        <w:t>Psychodrama</w:t>
      </w:r>
      <w:proofErr w:type="spellEnd"/>
      <w:r>
        <w:t xml:space="preserve"> </w:t>
      </w:r>
      <w:proofErr w:type="spellStart"/>
      <w:r>
        <w:t>Immigration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80 </w:t>
      </w:r>
      <w:proofErr w:type="spellStart"/>
      <w:r>
        <w:t>hours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attended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conferences</w:t>
      </w:r>
      <w:proofErr w:type="spellEnd"/>
      <w:r>
        <w:t xml:space="preserve">,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symposium</w:t>
      </w:r>
      <w:proofErr w:type="spellEnd"/>
      <w:r>
        <w:t xml:space="preserve"> as </w:t>
      </w:r>
      <w:proofErr w:type="spellStart"/>
      <w:r>
        <w:t>speaker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audience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is a </w:t>
      </w:r>
      <w:proofErr w:type="spellStart"/>
      <w:r>
        <w:t>member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board of </w:t>
      </w:r>
      <w:proofErr w:type="spellStart"/>
      <w:r>
        <w:t>directors</w:t>
      </w:r>
      <w:proofErr w:type="spellEnd"/>
      <w:r>
        <w:t xml:space="preserve"> of </w:t>
      </w:r>
      <w:proofErr w:type="spellStart"/>
      <w:r>
        <w:t>Cyprus</w:t>
      </w:r>
      <w:proofErr w:type="spellEnd"/>
      <w:r>
        <w:t xml:space="preserve"> </w:t>
      </w:r>
      <w:proofErr w:type="spellStart"/>
      <w:r>
        <w:t>Psychotherapy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. </w:t>
      </w:r>
      <w:proofErr w:type="spellStart"/>
      <w:r>
        <w:t>Before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member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board of </w:t>
      </w:r>
      <w:proofErr w:type="spellStart"/>
      <w:r>
        <w:t>directors</w:t>
      </w:r>
      <w:proofErr w:type="spellEnd"/>
      <w:r>
        <w:t xml:space="preserve"> of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Cypriot</w:t>
      </w:r>
      <w:proofErr w:type="spellEnd"/>
      <w:r>
        <w:t xml:space="preserve"> </w:t>
      </w:r>
      <w:proofErr w:type="spellStart"/>
      <w:r>
        <w:t>Mental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Organization</w:t>
      </w:r>
      <w:proofErr w:type="spellEnd"/>
      <w:r w:rsidR="006811FD">
        <w:t xml:space="preserve"> </w:t>
      </w:r>
      <w:proofErr w:type="spellStart"/>
      <w:r w:rsidR="006811FD">
        <w:t>and</w:t>
      </w:r>
      <w:proofErr w:type="spellEnd"/>
      <w:r w:rsidR="006811FD">
        <w:t xml:space="preserve"> Güzelyurt Art </w:t>
      </w:r>
      <w:proofErr w:type="spellStart"/>
      <w:r w:rsidR="006811FD">
        <w:t>Association.</w:t>
      </w:r>
      <w:proofErr w:type="spellEnd"/>
    </w:p>
    <w:p w:rsidR="006811FD" w:rsidRPr="00240B38" w:rsidRDefault="006811FD" w:rsidP="006811FD">
      <w:r w:rsidRPr="00240B38">
        <w:rPr>
          <w:rFonts w:eastAsia="Times New Roman" w:cs="Times New Roman"/>
          <w:b/>
          <w:lang w:eastAsia="tr-TR"/>
        </w:rPr>
        <w:t>Son iki yılda verilen lisans ve lisansüstü düzeydeki dersler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16"/>
        <w:gridCol w:w="3662"/>
        <w:gridCol w:w="992"/>
        <w:gridCol w:w="1276"/>
        <w:gridCol w:w="1024"/>
      </w:tblGrid>
      <w:tr w:rsidR="006811FD" w:rsidRPr="00240B38" w:rsidTr="00E21DC2">
        <w:tc>
          <w:tcPr>
            <w:tcW w:w="1242" w:type="dxa"/>
            <w:vMerge w:val="restart"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>Akademik Yıl</w:t>
            </w:r>
          </w:p>
        </w:tc>
        <w:tc>
          <w:tcPr>
            <w:tcW w:w="1016" w:type="dxa"/>
            <w:vMerge w:val="restart"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>Dönem</w:t>
            </w:r>
          </w:p>
        </w:tc>
        <w:tc>
          <w:tcPr>
            <w:tcW w:w="3662" w:type="dxa"/>
            <w:vMerge w:val="restart"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2268" w:type="dxa"/>
            <w:gridSpan w:val="2"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>Haftalık Saati</w:t>
            </w:r>
          </w:p>
        </w:tc>
        <w:tc>
          <w:tcPr>
            <w:tcW w:w="1024" w:type="dxa"/>
            <w:vMerge w:val="restart"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>Öğrenci Sayısı</w:t>
            </w:r>
          </w:p>
        </w:tc>
      </w:tr>
      <w:tr w:rsidR="006811FD" w:rsidRPr="00240B38" w:rsidTr="00E21DC2">
        <w:tc>
          <w:tcPr>
            <w:tcW w:w="1242" w:type="dxa"/>
            <w:vMerge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vMerge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2" w:type="dxa"/>
            <w:vMerge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>Teorik</w:t>
            </w:r>
          </w:p>
        </w:tc>
        <w:tc>
          <w:tcPr>
            <w:tcW w:w="1276" w:type="dxa"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1024" w:type="dxa"/>
            <w:vMerge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6811FD" w:rsidRPr="00240B38" w:rsidTr="00E21DC2">
        <w:tc>
          <w:tcPr>
            <w:tcW w:w="1242" w:type="dxa"/>
            <w:vMerge w:val="restart"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>2013-14</w:t>
            </w:r>
          </w:p>
        </w:tc>
        <w:tc>
          <w:tcPr>
            <w:tcW w:w="1016" w:type="dxa"/>
            <w:vMerge w:val="restart"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>Güz</w:t>
            </w:r>
          </w:p>
        </w:tc>
        <w:tc>
          <w:tcPr>
            <w:tcW w:w="3662" w:type="dxa"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PSY 335 </w:t>
            </w:r>
            <w:proofErr w:type="spellStart"/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>Psychology</w:t>
            </w:r>
            <w:proofErr w:type="spellEnd"/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>Work</w:t>
            </w:r>
            <w:proofErr w:type="spellEnd"/>
          </w:p>
        </w:tc>
        <w:tc>
          <w:tcPr>
            <w:tcW w:w="992" w:type="dxa"/>
          </w:tcPr>
          <w:p w:rsidR="006811FD" w:rsidRPr="00240B38" w:rsidRDefault="006811FD" w:rsidP="00E21D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76" w:type="dxa"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24" w:type="dxa"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>49</w:t>
            </w:r>
          </w:p>
        </w:tc>
      </w:tr>
      <w:tr w:rsidR="006811FD" w:rsidRPr="00240B38" w:rsidTr="00E21DC2">
        <w:tc>
          <w:tcPr>
            <w:tcW w:w="1242" w:type="dxa"/>
            <w:vMerge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vMerge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2" w:type="dxa"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PSY 490 </w:t>
            </w:r>
            <w:proofErr w:type="spellStart"/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>Internship</w:t>
            </w:r>
            <w:proofErr w:type="spellEnd"/>
          </w:p>
        </w:tc>
        <w:tc>
          <w:tcPr>
            <w:tcW w:w="992" w:type="dxa"/>
          </w:tcPr>
          <w:p w:rsidR="006811FD" w:rsidRPr="00240B38" w:rsidRDefault="006811FD" w:rsidP="00E21D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76" w:type="dxa"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24" w:type="dxa"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>34</w:t>
            </w:r>
          </w:p>
        </w:tc>
      </w:tr>
      <w:tr w:rsidR="006811FD" w:rsidRPr="00240B38" w:rsidTr="00E21DC2">
        <w:tc>
          <w:tcPr>
            <w:tcW w:w="1242" w:type="dxa"/>
            <w:vMerge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vMerge w:val="restart"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>İlkbahar</w:t>
            </w:r>
          </w:p>
        </w:tc>
        <w:tc>
          <w:tcPr>
            <w:tcW w:w="3662" w:type="dxa"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PSY 320 </w:t>
            </w:r>
            <w:proofErr w:type="spellStart"/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>Educational</w:t>
            </w:r>
            <w:proofErr w:type="spellEnd"/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>Psychology</w:t>
            </w:r>
            <w:proofErr w:type="spellEnd"/>
          </w:p>
        </w:tc>
        <w:tc>
          <w:tcPr>
            <w:tcW w:w="992" w:type="dxa"/>
          </w:tcPr>
          <w:p w:rsidR="006811FD" w:rsidRPr="00240B38" w:rsidRDefault="006811FD" w:rsidP="00E21D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76" w:type="dxa"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24" w:type="dxa"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>92</w:t>
            </w:r>
          </w:p>
        </w:tc>
      </w:tr>
      <w:tr w:rsidR="006811FD" w:rsidRPr="00240B38" w:rsidTr="00E21DC2">
        <w:tc>
          <w:tcPr>
            <w:tcW w:w="1242" w:type="dxa"/>
            <w:vMerge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vMerge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2" w:type="dxa"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SOC 101 </w:t>
            </w:r>
            <w:proofErr w:type="spellStart"/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>Introduction</w:t>
            </w:r>
            <w:proofErr w:type="spellEnd"/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>Sociology</w:t>
            </w:r>
            <w:proofErr w:type="spellEnd"/>
          </w:p>
        </w:tc>
        <w:tc>
          <w:tcPr>
            <w:tcW w:w="992" w:type="dxa"/>
          </w:tcPr>
          <w:p w:rsidR="006811FD" w:rsidRPr="00240B38" w:rsidRDefault="006811FD" w:rsidP="00E21D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76" w:type="dxa"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24" w:type="dxa"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>80</w:t>
            </w:r>
          </w:p>
        </w:tc>
      </w:tr>
      <w:tr w:rsidR="006811FD" w:rsidRPr="00240B38" w:rsidTr="00E21DC2">
        <w:tc>
          <w:tcPr>
            <w:tcW w:w="1242" w:type="dxa"/>
            <w:vMerge w:val="restart"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>2014-15</w:t>
            </w:r>
          </w:p>
        </w:tc>
        <w:tc>
          <w:tcPr>
            <w:tcW w:w="1016" w:type="dxa"/>
            <w:vMerge w:val="restart"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>Güz</w:t>
            </w:r>
          </w:p>
        </w:tc>
        <w:tc>
          <w:tcPr>
            <w:tcW w:w="3662" w:type="dxa"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PSY 335 </w:t>
            </w:r>
            <w:proofErr w:type="spellStart"/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>Psychology</w:t>
            </w:r>
            <w:proofErr w:type="spellEnd"/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>Work</w:t>
            </w:r>
            <w:proofErr w:type="spellEnd"/>
          </w:p>
        </w:tc>
        <w:tc>
          <w:tcPr>
            <w:tcW w:w="992" w:type="dxa"/>
          </w:tcPr>
          <w:p w:rsidR="006811FD" w:rsidRPr="00240B38" w:rsidRDefault="006811FD" w:rsidP="00E21D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76" w:type="dxa"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24" w:type="dxa"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>40</w:t>
            </w:r>
          </w:p>
        </w:tc>
      </w:tr>
      <w:tr w:rsidR="006811FD" w:rsidRPr="00240B38" w:rsidTr="00E21DC2">
        <w:tc>
          <w:tcPr>
            <w:tcW w:w="1242" w:type="dxa"/>
            <w:vMerge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vMerge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2" w:type="dxa"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PSY 490 </w:t>
            </w:r>
            <w:proofErr w:type="spellStart"/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>Internship</w:t>
            </w:r>
            <w:proofErr w:type="spellEnd"/>
          </w:p>
        </w:tc>
        <w:tc>
          <w:tcPr>
            <w:tcW w:w="992" w:type="dxa"/>
          </w:tcPr>
          <w:p w:rsidR="006811FD" w:rsidRPr="00240B38" w:rsidRDefault="006811FD" w:rsidP="00E21D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76" w:type="dxa"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24" w:type="dxa"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>70</w:t>
            </w:r>
          </w:p>
        </w:tc>
      </w:tr>
      <w:tr w:rsidR="006811FD" w:rsidRPr="00240B38" w:rsidTr="00E21DC2">
        <w:tc>
          <w:tcPr>
            <w:tcW w:w="1242" w:type="dxa"/>
            <w:vMerge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vMerge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2" w:type="dxa"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PSY 335 İş Psikolojisi </w:t>
            </w:r>
          </w:p>
        </w:tc>
        <w:tc>
          <w:tcPr>
            <w:tcW w:w="992" w:type="dxa"/>
          </w:tcPr>
          <w:p w:rsidR="006811FD" w:rsidRPr="00240B38" w:rsidRDefault="006811FD" w:rsidP="00E21D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76" w:type="dxa"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24" w:type="dxa"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>25</w:t>
            </w:r>
          </w:p>
        </w:tc>
      </w:tr>
      <w:tr w:rsidR="006811FD" w:rsidRPr="00240B38" w:rsidTr="00E21DC2">
        <w:tc>
          <w:tcPr>
            <w:tcW w:w="1242" w:type="dxa"/>
            <w:vMerge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vMerge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2" w:type="dxa"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PSY 116 </w:t>
            </w:r>
            <w:proofErr w:type="spellStart"/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>Social</w:t>
            </w:r>
            <w:proofErr w:type="spellEnd"/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>Statistics</w:t>
            </w:r>
            <w:proofErr w:type="spellEnd"/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992" w:type="dxa"/>
          </w:tcPr>
          <w:p w:rsidR="006811FD" w:rsidRPr="00240B38" w:rsidRDefault="006811FD" w:rsidP="00E21D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76" w:type="dxa"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24" w:type="dxa"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>13</w:t>
            </w:r>
          </w:p>
        </w:tc>
      </w:tr>
      <w:tr w:rsidR="006811FD" w:rsidRPr="00240B38" w:rsidTr="00E21DC2">
        <w:tc>
          <w:tcPr>
            <w:tcW w:w="1242" w:type="dxa"/>
            <w:vMerge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vMerge w:val="restart"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>İlkbahar</w:t>
            </w:r>
          </w:p>
        </w:tc>
        <w:tc>
          <w:tcPr>
            <w:tcW w:w="3662" w:type="dxa"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PSY 320 </w:t>
            </w:r>
            <w:proofErr w:type="spellStart"/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>Educational</w:t>
            </w:r>
            <w:proofErr w:type="spellEnd"/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>Psychology</w:t>
            </w:r>
            <w:proofErr w:type="spellEnd"/>
          </w:p>
        </w:tc>
        <w:tc>
          <w:tcPr>
            <w:tcW w:w="992" w:type="dxa"/>
          </w:tcPr>
          <w:p w:rsidR="006811FD" w:rsidRPr="00240B38" w:rsidRDefault="006811FD" w:rsidP="00E21D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76" w:type="dxa"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24" w:type="dxa"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>31</w:t>
            </w:r>
          </w:p>
        </w:tc>
      </w:tr>
      <w:tr w:rsidR="006811FD" w:rsidRPr="00240B38" w:rsidTr="00E21DC2">
        <w:tc>
          <w:tcPr>
            <w:tcW w:w="1242" w:type="dxa"/>
            <w:vMerge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vMerge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2" w:type="dxa"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>PSY 320 Eğitim Psikolojisi</w:t>
            </w:r>
          </w:p>
        </w:tc>
        <w:tc>
          <w:tcPr>
            <w:tcW w:w="992" w:type="dxa"/>
          </w:tcPr>
          <w:p w:rsidR="006811FD" w:rsidRPr="00240B38" w:rsidRDefault="006811FD" w:rsidP="00E21D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76" w:type="dxa"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24" w:type="dxa"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>24</w:t>
            </w:r>
          </w:p>
        </w:tc>
      </w:tr>
      <w:tr w:rsidR="006811FD" w:rsidRPr="00240B38" w:rsidTr="00E21DC2">
        <w:tc>
          <w:tcPr>
            <w:tcW w:w="1242" w:type="dxa"/>
            <w:vMerge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vMerge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2" w:type="dxa"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PSY 332 </w:t>
            </w:r>
            <w:proofErr w:type="spellStart"/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>Intelligence</w:t>
            </w:r>
            <w:proofErr w:type="spellEnd"/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>Testing</w:t>
            </w:r>
            <w:proofErr w:type="spellEnd"/>
          </w:p>
        </w:tc>
        <w:tc>
          <w:tcPr>
            <w:tcW w:w="992" w:type="dxa"/>
          </w:tcPr>
          <w:p w:rsidR="006811FD" w:rsidRPr="00240B38" w:rsidRDefault="006811FD" w:rsidP="00E21D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76" w:type="dxa"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24" w:type="dxa"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>38</w:t>
            </w:r>
          </w:p>
        </w:tc>
      </w:tr>
      <w:tr w:rsidR="006811FD" w:rsidRPr="00240B38" w:rsidTr="00E21DC2">
        <w:tc>
          <w:tcPr>
            <w:tcW w:w="1242" w:type="dxa"/>
            <w:vMerge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vMerge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2" w:type="dxa"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>PSY 116 Sosyal İstatistik II</w:t>
            </w:r>
          </w:p>
        </w:tc>
        <w:tc>
          <w:tcPr>
            <w:tcW w:w="992" w:type="dxa"/>
          </w:tcPr>
          <w:p w:rsidR="006811FD" w:rsidRPr="00240B38" w:rsidRDefault="006811FD" w:rsidP="00E21D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76" w:type="dxa"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24" w:type="dxa"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>83</w:t>
            </w:r>
          </w:p>
        </w:tc>
      </w:tr>
      <w:tr w:rsidR="006811FD" w:rsidRPr="00240B38" w:rsidTr="00E21DC2">
        <w:tc>
          <w:tcPr>
            <w:tcW w:w="1242" w:type="dxa"/>
            <w:vMerge w:val="restart"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>2015-16</w:t>
            </w:r>
          </w:p>
        </w:tc>
        <w:tc>
          <w:tcPr>
            <w:tcW w:w="1016" w:type="dxa"/>
            <w:vMerge w:val="restart"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>Güz</w:t>
            </w:r>
          </w:p>
        </w:tc>
        <w:tc>
          <w:tcPr>
            <w:tcW w:w="3662" w:type="dxa"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PSY 500 </w:t>
            </w:r>
            <w:proofErr w:type="spellStart"/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>Social</w:t>
            </w:r>
            <w:proofErr w:type="spellEnd"/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>Statistics</w:t>
            </w:r>
            <w:proofErr w:type="spellEnd"/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>-SPSS</w:t>
            </w:r>
          </w:p>
        </w:tc>
        <w:tc>
          <w:tcPr>
            <w:tcW w:w="992" w:type="dxa"/>
          </w:tcPr>
          <w:p w:rsidR="006811FD" w:rsidRPr="00240B38" w:rsidRDefault="006811FD" w:rsidP="00E21D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76" w:type="dxa"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24" w:type="dxa"/>
          </w:tcPr>
          <w:p w:rsidR="006811FD" w:rsidRPr="00240B38" w:rsidRDefault="003E1CF7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5</w:t>
            </w:r>
            <w:bookmarkStart w:id="0" w:name="_GoBack"/>
            <w:bookmarkEnd w:id="0"/>
          </w:p>
        </w:tc>
      </w:tr>
      <w:tr w:rsidR="006811FD" w:rsidRPr="00240B38" w:rsidTr="00E21DC2">
        <w:tc>
          <w:tcPr>
            <w:tcW w:w="1242" w:type="dxa"/>
            <w:vMerge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vMerge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2" w:type="dxa"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>PSY 490 Staj</w:t>
            </w:r>
          </w:p>
        </w:tc>
        <w:tc>
          <w:tcPr>
            <w:tcW w:w="992" w:type="dxa"/>
          </w:tcPr>
          <w:p w:rsidR="006811FD" w:rsidRPr="00240B38" w:rsidRDefault="006811FD" w:rsidP="00E21D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76" w:type="dxa"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24" w:type="dxa"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>51</w:t>
            </w:r>
          </w:p>
        </w:tc>
      </w:tr>
      <w:tr w:rsidR="006811FD" w:rsidRPr="00240B38" w:rsidTr="00E21DC2">
        <w:tc>
          <w:tcPr>
            <w:tcW w:w="1242" w:type="dxa"/>
            <w:vMerge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vMerge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2" w:type="dxa"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>PSY 340 Kişilik Kuramları</w:t>
            </w:r>
          </w:p>
        </w:tc>
        <w:tc>
          <w:tcPr>
            <w:tcW w:w="992" w:type="dxa"/>
          </w:tcPr>
          <w:p w:rsidR="006811FD" w:rsidRPr="00240B38" w:rsidRDefault="006811FD" w:rsidP="00E21D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76" w:type="dxa"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24" w:type="dxa"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>61</w:t>
            </w:r>
          </w:p>
        </w:tc>
      </w:tr>
      <w:tr w:rsidR="006811FD" w:rsidRPr="00240B38" w:rsidTr="00E21DC2">
        <w:tc>
          <w:tcPr>
            <w:tcW w:w="1242" w:type="dxa"/>
            <w:vMerge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vMerge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2" w:type="dxa"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>PSY 221 Gelişim Psikolojisi</w:t>
            </w:r>
          </w:p>
        </w:tc>
        <w:tc>
          <w:tcPr>
            <w:tcW w:w="992" w:type="dxa"/>
          </w:tcPr>
          <w:p w:rsidR="006811FD" w:rsidRPr="00240B38" w:rsidRDefault="006811FD" w:rsidP="00E21D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76" w:type="dxa"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24" w:type="dxa"/>
          </w:tcPr>
          <w:p w:rsidR="006811FD" w:rsidRPr="00240B38" w:rsidRDefault="006811FD" w:rsidP="00E21DC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40B38">
              <w:rPr>
                <w:rFonts w:eastAsia="Times New Roman" w:cs="Times New Roman"/>
                <w:sz w:val="20"/>
                <w:szCs w:val="20"/>
                <w:lang w:eastAsia="tr-TR"/>
              </w:rPr>
              <w:t>177</w:t>
            </w:r>
          </w:p>
        </w:tc>
      </w:tr>
    </w:tbl>
    <w:p w:rsidR="006811FD" w:rsidRPr="00240B38" w:rsidRDefault="006811FD" w:rsidP="00681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66034" w:rsidRDefault="00066034"/>
    <w:sectPr w:rsidR="00066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B2"/>
    <w:rsid w:val="00066034"/>
    <w:rsid w:val="003E1CF7"/>
    <w:rsid w:val="006811FD"/>
    <w:rsid w:val="00E2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sarpcom</dc:creator>
  <cp:lastModifiedBy>sarpcom</cp:lastModifiedBy>
  <cp:revision>3</cp:revision>
  <dcterms:created xsi:type="dcterms:W3CDTF">2015-12-01T10:16:00Z</dcterms:created>
  <dcterms:modified xsi:type="dcterms:W3CDTF">2015-12-01T10:18:00Z</dcterms:modified>
</cp:coreProperties>
</file>